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B2" w:rsidRDefault="00AA5DBB" w:rsidP="00AA5DBB">
      <w:pPr>
        <w:jc w:val="center"/>
        <w:rPr>
          <w:rFonts w:ascii="Times New Roman" w:hAnsi="Times New Roman"/>
          <w:b/>
          <w:sz w:val="24"/>
          <w:szCs w:val="24"/>
        </w:rPr>
      </w:pPr>
      <w:r w:rsidRPr="008E04B2">
        <w:rPr>
          <w:rFonts w:ascii="Times New Roman" w:hAnsi="Times New Roman"/>
          <w:b/>
          <w:sz w:val="24"/>
          <w:szCs w:val="24"/>
        </w:rPr>
        <w:t>SPRAWOZDANIE Z DZIAŁALNOŚCI POWIATOWEGO URZĘDU PRACY</w:t>
      </w:r>
    </w:p>
    <w:p w:rsidR="00AA5DBB" w:rsidRPr="008E04B2" w:rsidRDefault="00AA5DBB" w:rsidP="00AA5DBB">
      <w:pPr>
        <w:jc w:val="center"/>
        <w:rPr>
          <w:rFonts w:ascii="Times New Roman" w:hAnsi="Times New Roman"/>
          <w:b/>
          <w:sz w:val="24"/>
          <w:szCs w:val="24"/>
        </w:rPr>
      </w:pPr>
      <w:r w:rsidRPr="008E04B2">
        <w:rPr>
          <w:rFonts w:ascii="Times New Roman" w:hAnsi="Times New Roman"/>
          <w:b/>
          <w:sz w:val="24"/>
          <w:szCs w:val="24"/>
        </w:rPr>
        <w:t xml:space="preserve"> </w:t>
      </w:r>
      <w:r w:rsidR="008E04B2">
        <w:rPr>
          <w:rFonts w:ascii="Times New Roman" w:hAnsi="Times New Roman"/>
          <w:b/>
          <w:sz w:val="24"/>
          <w:szCs w:val="24"/>
        </w:rPr>
        <w:t xml:space="preserve">           </w:t>
      </w:r>
      <w:r w:rsidRPr="008E04B2">
        <w:rPr>
          <w:rFonts w:ascii="Times New Roman" w:hAnsi="Times New Roman"/>
          <w:b/>
          <w:sz w:val="24"/>
          <w:szCs w:val="24"/>
        </w:rPr>
        <w:t xml:space="preserve">W CHODZIEŻY </w:t>
      </w:r>
    </w:p>
    <w:p w:rsidR="00AA5DBB" w:rsidRPr="008E04B2" w:rsidRDefault="00AA5DBB" w:rsidP="00AA5DBB">
      <w:pPr>
        <w:jc w:val="center"/>
        <w:rPr>
          <w:rFonts w:ascii="Times New Roman" w:hAnsi="Times New Roman"/>
          <w:b/>
          <w:sz w:val="24"/>
          <w:szCs w:val="24"/>
        </w:rPr>
      </w:pPr>
      <w:r w:rsidRPr="008E04B2">
        <w:rPr>
          <w:rFonts w:ascii="Times New Roman" w:hAnsi="Times New Roman"/>
          <w:b/>
          <w:sz w:val="24"/>
          <w:szCs w:val="24"/>
        </w:rPr>
        <w:t xml:space="preserve">W LATACH </w:t>
      </w:r>
      <w:r w:rsidR="00926D8F" w:rsidRPr="008E04B2">
        <w:rPr>
          <w:rFonts w:ascii="Times New Roman" w:hAnsi="Times New Roman"/>
          <w:b/>
          <w:sz w:val="24"/>
          <w:szCs w:val="24"/>
        </w:rPr>
        <w:t xml:space="preserve"> </w:t>
      </w:r>
      <w:r w:rsidRPr="008E04B2">
        <w:rPr>
          <w:rFonts w:ascii="Times New Roman" w:hAnsi="Times New Roman"/>
          <w:b/>
          <w:sz w:val="24"/>
          <w:szCs w:val="24"/>
        </w:rPr>
        <w:t xml:space="preserve">2020 – 2021 </w:t>
      </w:r>
      <w:r w:rsidR="008E04B2" w:rsidRPr="008E04B2">
        <w:rPr>
          <w:rFonts w:ascii="Times New Roman" w:hAnsi="Times New Roman"/>
          <w:b/>
          <w:sz w:val="24"/>
          <w:szCs w:val="24"/>
        </w:rPr>
        <w:t>–</w:t>
      </w:r>
      <w:r w:rsidRPr="008E04B2">
        <w:rPr>
          <w:rFonts w:ascii="Times New Roman" w:hAnsi="Times New Roman"/>
          <w:b/>
          <w:sz w:val="24"/>
          <w:szCs w:val="24"/>
        </w:rPr>
        <w:t xml:space="preserve"> 2022</w:t>
      </w:r>
      <w:r w:rsidR="008E04B2" w:rsidRPr="008E04B2">
        <w:rPr>
          <w:rFonts w:ascii="Times New Roman" w:hAnsi="Times New Roman"/>
          <w:b/>
          <w:sz w:val="24"/>
          <w:szCs w:val="24"/>
        </w:rPr>
        <w:t xml:space="preserve"> – 2023 - 2024 </w:t>
      </w:r>
    </w:p>
    <w:p w:rsidR="009C1E46" w:rsidRPr="00341CE1" w:rsidRDefault="009C1E46" w:rsidP="00341CE1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341CE1">
        <w:rPr>
          <w:rFonts w:ascii="Times New Roman" w:hAnsi="Times New Roman"/>
          <w:b/>
          <w:sz w:val="24"/>
          <w:szCs w:val="24"/>
        </w:rPr>
        <w:t>STOPA BEZROBOCIA</w:t>
      </w:r>
    </w:p>
    <w:p w:rsidR="008E04B2" w:rsidRPr="008E04B2" w:rsidRDefault="008E04B2" w:rsidP="008E04B2">
      <w:pPr>
        <w:jc w:val="both"/>
        <w:rPr>
          <w:rFonts w:ascii="Times New Roman" w:hAnsi="Times New Roman"/>
          <w:bCs/>
        </w:rPr>
      </w:pPr>
      <w:r w:rsidRPr="008E04B2">
        <w:rPr>
          <w:rFonts w:ascii="Times New Roman" w:hAnsi="Times New Roman"/>
          <w:bCs/>
        </w:rPr>
        <w:t>Stopa bezrobocia jest to wyrażony w procentach stosunek liczby bezrobotnych do liczby ludności aktywnej zawodowo tj. pracujących i bezrobotnych (bez osób odbywających czynną służbę  wojskową  oraz  pracowników  jednostek  budżetowych  prowadzących  działalność  w zakresie obrony narodowej i bezpieczeństwa publicznego) według stanu na koniec okresu sprawozdawczego. Miernik obliczany jest przez Główny Urząd Statystyczny.</w:t>
      </w:r>
    </w:p>
    <w:tbl>
      <w:tblPr>
        <w:tblStyle w:val="Tabela-Siatka"/>
        <w:tblW w:w="0" w:type="auto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12" w:space="0" w:color="4F6228" w:themeColor="accent3" w:themeShade="80"/>
          <w:insideV w:val="single" w:sz="12" w:space="0" w:color="4F6228" w:themeColor="accent3" w:themeShade="80"/>
        </w:tblBorders>
        <w:shd w:val="clear" w:color="auto" w:fill="C2D69B" w:themeFill="accent3" w:themeFillTint="99"/>
        <w:tblLook w:val="04A0"/>
      </w:tblPr>
      <w:tblGrid>
        <w:gridCol w:w="1951"/>
        <w:gridCol w:w="1467"/>
        <w:gridCol w:w="1467"/>
        <w:gridCol w:w="1468"/>
        <w:gridCol w:w="1467"/>
        <w:gridCol w:w="1468"/>
      </w:tblGrid>
      <w:tr w:rsidR="008E04B2" w:rsidTr="00411EF7">
        <w:tc>
          <w:tcPr>
            <w:tcW w:w="1951" w:type="dxa"/>
            <w:shd w:val="clear" w:color="auto" w:fill="C2D69B" w:themeFill="accent3" w:themeFillTint="99"/>
            <w:vAlign w:val="center"/>
          </w:tcPr>
          <w:p w:rsidR="008E04B2" w:rsidRPr="008E04B2" w:rsidRDefault="008E04B2" w:rsidP="00690B30">
            <w:pPr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4B2">
              <w:rPr>
                <w:rFonts w:ascii="Times New Roman" w:hAnsi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67" w:type="dxa"/>
            <w:tcBorders>
              <w:bottom w:val="single" w:sz="12" w:space="0" w:color="4F6228" w:themeColor="accent3" w:themeShade="80"/>
            </w:tcBorders>
            <w:shd w:val="clear" w:color="auto" w:fill="C2D69B" w:themeFill="accent3" w:themeFillTint="99"/>
            <w:vAlign w:val="center"/>
          </w:tcPr>
          <w:p w:rsidR="008E04B2" w:rsidRPr="006223E6" w:rsidRDefault="008E04B2" w:rsidP="006223E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23E6">
              <w:rPr>
                <w:rFonts w:ascii="Times New Roman" w:hAnsi="Times New Roman"/>
                <w:b/>
                <w:bCs/>
              </w:rPr>
              <w:t>31.12.2020r.</w:t>
            </w:r>
          </w:p>
        </w:tc>
        <w:tc>
          <w:tcPr>
            <w:tcW w:w="1467" w:type="dxa"/>
            <w:tcBorders>
              <w:bottom w:val="single" w:sz="12" w:space="0" w:color="4F6228" w:themeColor="accent3" w:themeShade="80"/>
            </w:tcBorders>
            <w:shd w:val="clear" w:color="auto" w:fill="C2D69B" w:themeFill="accent3" w:themeFillTint="99"/>
            <w:vAlign w:val="center"/>
          </w:tcPr>
          <w:p w:rsidR="008E04B2" w:rsidRPr="006223E6" w:rsidRDefault="008E04B2" w:rsidP="006223E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23E6">
              <w:rPr>
                <w:rFonts w:ascii="Times New Roman" w:hAnsi="Times New Roman"/>
                <w:b/>
                <w:bCs/>
              </w:rPr>
              <w:t>31.12.2021r.</w:t>
            </w:r>
          </w:p>
        </w:tc>
        <w:tc>
          <w:tcPr>
            <w:tcW w:w="1468" w:type="dxa"/>
            <w:tcBorders>
              <w:bottom w:val="single" w:sz="12" w:space="0" w:color="4F6228" w:themeColor="accent3" w:themeShade="80"/>
            </w:tcBorders>
            <w:shd w:val="clear" w:color="auto" w:fill="C2D69B" w:themeFill="accent3" w:themeFillTint="99"/>
            <w:vAlign w:val="center"/>
          </w:tcPr>
          <w:p w:rsidR="008E04B2" w:rsidRPr="006223E6" w:rsidRDefault="008E04B2" w:rsidP="006223E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23E6">
              <w:rPr>
                <w:rFonts w:ascii="Times New Roman" w:hAnsi="Times New Roman"/>
                <w:b/>
                <w:bCs/>
              </w:rPr>
              <w:t>31.12.2022r.</w:t>
            </w:r>
          </w:p>
        </w:tc>
        <w:tc>
          <w:tcPr>
            <w:tcW w:w="1467" w:type="dxa"/>
            <w:tcBorders>
              <w:bottom w:val="single" w:sz="12" w:space="0" w:color="4F6228" w:themeColor="accent3" w:themeShade="80"/>
            </w:tcBorders>
            <w:shd w:val="clear" w:color="auto" w:fill="C2D69B" w:themeFill="accent3" w:themeFillTint="99"/>
            <w:vAlign w:val="center"/>
          </w:tcPr>
          <w:p w:rsidR="008E04B2" w:rsidRPr="006223E6" w:rsidRDefault="006223E6" w:rsidP="006223E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23E6">
              <w:rPr>
                <w:rFonts w:ascii="Times New Roman" w:hAnsi="Times New Roman"/>
                <w:b/>
                <w:bCs/>
              </w:rPr>
              <w:t>31.12.2023r.</w:t>
            </w:r>
          </w:p>
        </w:tc>
        <w:tc>
          <w:tcPr>
            <w:tcW w:w="1468" w:type="dxa"/>
            <w:tcBorders>
              <w:bottom w:val="single" w:sz="12" w:space="0" w:color="4F6228" w:themeColor="accent3" w:themeShade="80"/>
            </w:tcBorders>
            <w:shd w:val="clear" w:color="auto" w:fill="C2D69B" w:themeFill="accent3" w:themeFillTint="99"/>
            <w:vAlign w:val="center"/>
          </w:tcPr>
          <w:p w:rsidR="008E04B2" w:rsidRPr="006223E6" w:rsidRDefault="006223E6" w:rsidP="006223E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23E6">
              <w:rPr>
                <w:rFonts w:ascii="Times New Roman" w:hAnsi="Times New Roman"/>
                <w:b/>
                <w:bCs/>
              </w:rPr>
              <w:t>31.12.2024r.</w:t>
            </w:r>
          </w:p>
        </w:tc>
      </w:tr>
      <w:tr w:rsidR="008E04B2" w:rsidTr="00411EF7">
        <w:tc>
          <w:tcPr>
            <w:tcW w:w="1951" w:type="dxa"/>
            <w:shd w:val="clear" w:color="auto" w:fill="C2D69B" w:themeFill="accent3" w:themeFillTint="99"/>
            <w:vAlign w:val="center"/>
          </w:tcPr>
          <w:p w:rsidR="008E04B2" w:rsidRPr="008E04B2" w:rsidRDefault="008E04B2" w:rsidP="00690B30">
            <w:pPr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4B2">
              <w:rPr>
                <w:rFonts w:ascii="Times New Roman" w:hAnsi="Times New Roman"/>
                <w:b/>
                <w:bCs/>
                <w:sz w:val="20"/>
                <w:szCs w:val="20"/>
              </w:rPr>
              <w:t>Powiat chodzieski</w:t>
            </w:r>
          </w:p>
        </w:tc>
        <w:tc>
          <w:tcPr>
            <w:tcW w:w="1467" w:type="dxa"/>
            <w:shd w:val="clear" w:color="auto" w:fill="EAF1DD" w:themeFill="accent3" w:themeFillTint="33"/>
            <w:vAlign w:val="center"/>
          </w:tcPr>
          <w:p w:rsidR="008E04B2" w:rsidRPr="00690B30" w:rsidRDefault="008E04B2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90B30">
              <w:rPr>
                <w:rFonts w:ascii="Times New Roman" w:hAnsi="Times New Roman"/>
              </w:rPr>
              <w:t>8,2 %</w:t>
            </w:r>
          </w:p>
        </w:tc>
        <w:tc>
          <w:tcPr>
            <w:tcW w:w="1467" w:type="dxa"/>
            <w:shd w:val="clear" w:color="auto" w:fill="EAF1DD" w:themeFill="accent3" w:themeFillTint="33"/>
            <w:vAlign w:val="center"/>
          </w:tcPr>
          <w:p w:rsidR="008E04B2" w:rsidRPr="00690B30" w:rsidRDefault="008E04B2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90B30">
              <w:rPr>
                <w:rFonts w:ascii="Times New Roman" w:hAnsi="Times New Roman"/>
              </w:rPr>
              <w:t>7,1 %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8E04B2" w:rsidRPr="006223E6" w:rsidRDefault="008E04B2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223E6">
              <w:rPr>
                <w:rFonts w:ascii="Times New Roman" w:hAnsi="Times New Roman"/>
              </w:rPr>
              <w:t>7,0 %</w:t>
            </w:r>
          </w:p>
        </w:tc>
        <w:tc>
          <w:tcPr>
            <w:tcW w:w="1467" w:type="dxa"/>
            <w:shd w:val="clear" w:color="auto" w:fill="EAF1DD" w:themeFill="accent3" w:themeFillTint="33"/>
            <w:vAlign w:val="center"/>
          </w:tcPr>
          <w:p w:rsidR="008E04B2" w:rsidRPr="006223E6" w:rsidRDefault="006223E6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223E6">
              <w:rPr>
                <w:rFonts w:ascii="Times New Roman" w:hAnsi="Times New Roman"/>
              </w:rPr>
              <w:t>7,5%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8E04B2" w:rsidRPr="006223E6" w:rsidRDefault="006223E6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223E6">
              <w:rPr>
                <w:rFonts w:ascii="Times New Roman" w:hAnsi="Times New Roman"/>
              </w:rPr>
              <w:t>7,5%</w:t>
            </w:r>
          </w:p>
        </w:tc>
      </w:tr>
      <w:tr w:rsidR="008E04B2" w:rsidTr="00411EF7">
        <w:tc>
          <w:tcPr>
            <w:tcW w:w="1951" w:type="dxa"/>
            <w:shd w:val="clear" w:color="auto" w:fill="C2D69B" w:themeFill="accent3" w:themeFillTint="99"/>
            <w:vAlign w:val="center"/>
          </w:tcPr>
          <w:p w:rsidR="008E04B2" w:rsidRPr="008E04B2" w:rsidRDefault="008E04B2" w:rsidP="00690B30">
            <w:pPr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4B2">
              <w:rPr>
                <w:rFonts w:ascii="Times New Roman" w:hAnsi="Times New Roman"/>
                <w:b/>
                <w:bCs/>
                <w:sz w:val="20"/>
                <w:szCs w:val="20"/>
              </w:rPr>
              <w:t>Województwo wielkopolskie</w:t>
            </w:r>
          </w:p>
        </w:tc>
        <w:tc>
          <w:tcPr>
            <w:tcW w:w="1467" w:type="dxa"/>
            <w:shd w:val="clear" w:color="auto" w:fill="EAF1DD" w:themeFill="accent3" w:themeFillTint="33"/>
            <w:vAlign w:val="center"/>
          </w:tcPr>
          <w:p w:rsidR="008E04B2" w:rsidRPr="00690B30" w:rsidRDefault="008E04B2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90B30">
              <w:rPr>
                <w:rFonts w:ascii="Times New Roman" w:hAnsi="Times New Roman"/>
              </w:rPr>
              <w:t>3,7 %</w:t>
            </w:r>
          </w:p>
        </w:tc>
        <w:tc>
          <w:tcPr>
            <w:tcW w:w="1467" w:type="dxa"/>
            <w:shd w:val="clear" w:color="auto" w:fill="EAF1DD" w:themeFill="accent3" w:themeFillTint="33"/>
            <w:vAlign w:val="center"/>
          </w:tcPr>
          <w:p w:rsidR="008E04B2" w:rsidRPr="00690B30" w:rsidRDefault="008E04B2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90B30">
              <w:rPr>
                <w:rFonts w:ascii="Times New Roman" w:hAnsi="Times New Roman"/>
              </w:rPr>
              <w:t>3,1 %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8E04B2" w:rsidRPr="006223E6" w:rsidRDefault="008E04B2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223E6">
              <w:rPr>
                <w:rFonts w:ascii="Times New Roman" w:hAnsi="Times New Roman"/>
              </w:rPr>
              <w:t>2,9 %</w:t>
            </w:r>
          </w:p>
        </w:tc>
        <w:tc>
          <w:tcPr>
            <w:tcW w:w="1467" w:type="dxa"/>
            <w:shd w:val="clear" w:color="auto" w:fill="EAF1DD" w:themeFill="accent3" w:themeFillTint="33"/>
            <w:vAlign w:val="center"/>
          </w:tcPr>
          <w:p w:rsidR="008E04B2" w:rsidRPr="006223E6" w:rsidRDefault="006223E6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223E6">
              <w:rPr>
                <w:rFonts w:ascii="Times New Roman" w:hAnsi="Times New Roman"/>
              </w:rPr>
              <w:t>3,0%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8E04B2" w:rsidRPr="006223E6" w:rsidRDefault="006223E6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223E6">
              <w:rPr>
                <w:rFonts w:ascii="Times New Roman" w:hAnsi="Times New Roman"/>
              </w:rPr>
              <w:t>3,0%</w:t>
            </w:r>
          </w:p>
        </w:tc>
      </w:tr>
      <w:tr w:rsidR="008E04B2" w:rsidTr="00411EF7">
        <w:tc>
          <w:tcPr>
            <w:tcW w:w="1951" w:type="dxa"/>
            <w:shd w:val="clear" w:color="auto" w:fill="C2D69B" w:themeFill="accent3" w:themeFillTint="99"/>
            <w:vAlign w:val="center"/>
          </w:tcPr>
          <w:p w:rsidR="008E04B2" w:rsidRPr="008E04B2" w:rsidRDefault="008E04B2" w:rsidP="00690B30">
            <w:pPr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4B2">
              <w:rPr>
                <w:rFonts w:ascii="Times New Roman" w:hAnsi="Times New Roman"/>
                <w:b/>
                <w:bCs/>
                <w:sz w:val="20"/>
                <w:szCs w:val="20"/>
              </w:rPr>
              <w:t>Polska</w:t>
            </w:r>
          </w:p>
        </w:tc>
        <w:tc>
          <w:tcPr>
            <w:tcW w:w="1467" w:type="dxa"/>
            <w:shd w:val="clear" w:color="auto" w:fill="EAF1DD" w:themeFill="accent3" w:themeFillTint="33"/>
            <w:vAlign w:val="center"/>
          </w:tcPr>
          <w:p w:rsidR="008E04B2" w:rsidRPr="00690B30" w:rsidRDefault="008E04B2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90B30">
              <w:rPr>
                <w:rFonts w:ascii="Times New Roman" w:hAnsi="Times New Roman"/>
              </w:rPr>
              <w:t>6,2 %</w:t>
            </w:r>
          </w:p>
        </w:tc>
        <w:tc>
          <w:tcPr>
            <w:tcW w:w="1467" w:type="dxa"/>
            <w:shd w:val="clear" w:color="auto" w:fill="EAF1DD" w:themeFill="accent3" w:themeFillTint="33"/>
            <w:vAlign w:val="center"/>
          </w:tcPr>
          <w:p w:rsidR="008E04B2" w:rsidRPr="00690B30" w:rsidRDefault="008E04B2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90B30">
              <w:rPr>
                <w:rFonts w:ascii="Times New Roman" w:hAnsi="Times New Roman"/>
              </w:rPr>
              <w:t>5,4 %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8E04B2" w:rsidRPr="006223E6" w:rsidRDefault="008E04B2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223E6">
              <w:rPr>
                <w:rFonts w:ascii="Times New Roman" w:hAnsi="Times New Roman"/>
              </w:rPr>
              <w:t>5,2 %</w:t>
            </w:r>
          </w:p>
        </w:tc>
        <w:tc>
          <w:tcPr>
            <w:tcW w:w="1467" w:type="dxa"/>
            <w:shd w:val="clear" w:color="auto" w:fill="EAF1DD" w:themeFill="accent3" w:themeFillTint="33"/>
            <w:vAlign w:val="center"/>
          </w:tcPr>
          <w:p w:rsidR="008E04B2" w:rsidRPr="006223E6" w:rsidRDefault="006223E6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223E6">
              <w:rPr>
                <w:rFonts w:ascii="Times New Roman" w:hAnsi="Times New Roman"/>
              </w:rPr>
              <w:t>5,1%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8E04B2" w:rsidRPr="006223E6" w:rsidRDefault="006223E6" w:rsidP="006223E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223E6">
              <w:rPr>
                <w:rFonts w:ascii="Times New Roman" w:hAnsi="Times New Roman"/>
              </w:rPr>
              <w:t>5,1%</w:t>
            </w:r>
          </w:p>
        </w:tc>
      </w:tr>
    </w:tbl>
    <w:p w:rsidR="005A1AD8" w:rsidRDefault="005A1AD8" w:rsidP="00004E73">
      <w:pPr>
        <w:rPr>
          <w:rFonts w:ascii="Times New Roman" w:hAnsi="Times New Roman"/>
          <w:b/>
          <w:i/>
          <w:sz w:val="24"/>
          <w:szCs w:val="24"/>
        </w:rPr>
      </w:pPr>
    </w:p>
    <w:p w:rsidR="00004E73" w:rsidRPr="008B4E31" w:rsidRDefault="00004E73" w:rsidP="003B711A">
      <w:pPr>
        <w:jc w:val="both"/>
        <w:rPr>
          <w:rFonts w:ascii="Times New Roman" w:hAnsi="Times New Roman"/>
          <w:b/>
          <w:i/>
        </w:rPr>
      </w:pPr>
      <w:r w:rsidRPr="008B4E31">
        <w:rPr>
          <w:rFonts w:ascii="Times New Roman" w:hAnsi="Times New Roman"/>
          <w:b/>
          <w:i/>
        </w:rPr>
        <w:t xml:space="preserve">Porównanie stopy bezrobocia w powiecie chodzieskim w poszczególnych miesiącach na przełomie lat </w:t>
      </w:r>
      <w:r w:rsidR="00682289" w:rsidRPr="008B4E31">
        <w:rPr>
          <w:rFonts w:ascii="Times New Roman" w:hAnsi="Times New Roman"/>
          <w:b/>
          <w:i/>
        </w:rPr>
        <w:t>2020/</w:t>
      </w:r>
      <w:r w:rsidR="006223E6" w:rsidRPr="008B4E31">
        <w:rPr>
          <w:rFonts w:ascii="Times New Roman" w:hAnsi="Times New Roman"/>
          <w:b/>
          <w:i/>
        </w:rPr>
        <w:t>2024</w:t>
      </w:r>
    </w:p>
    <w:p w:rsidR="00004E73" w:rsidRDefault="00004E73" w:rsidP="00004E73">
      <w:pPr>
        <w:jc w:val="both"/>
        <w:rPr>
          <w:rFonts w:ascii="Times New Roman" w:hAnsi="Times New Roman"/>
          <w:b/>
          <w:sz w:val="28"/>
          <w:szCs w:val="28"/>
        </w:rPr>
      </w:pPr>
      <w:r w:rsidRPr="005A0DF9">
        <w:rPr>
          <w:rFonts w:ascii="Times New Roman" w:hAnsi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705890" cy="3204375"/>
            <wp:effectExtent l="19050" t="0" r="28160" b="0"/>
            <wp:docPr id="28" name="Obiek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F0EB1" w:rsidRPr="008B4E31" w:rsidRDefault="00125550" w:rsidP="003B711A">
      <w:pPr>
        <w:spacing w:line="240" w:lineRule="auto"/>
        <w:jc w:val="both"/>
        <w:rPr>
          <w:rFonts w:ascii="Times New Roman" w:hAnsi="Times New Roman"/>
        </w:rPr>
      </w:pPr>
      <w:r w:rsidRPr="008B4E31">
        <w:rPr>
          <w:rFonts w:ascii="Times New Roman" w:hAnsi="Times New Roman"/>
        </w:rPr>
        <w:t>Analizując dynamikę bezrobocia na przełomie lat 2020/2024, zauważa się, że najniższy wskaźnik stopy bezrobocia wystąpił w miesiącu czerwcu 2022r. (5,9 %), a najwyższy w styczniu 2021r. (8,6%).</w:t>
      </w:r>
    </w:p>
    <w:p w:rsidR="008B4E31" w:rsidRDefault="008B4E31" w:rsidP="00D570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E31" w:rsidRDefault="008B4E31" w:rsidP="00D570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25A0" w:rsidRPr="00D570E6" w:rsidRDefault="00B125A0" w:rsidP="00D570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70E6">
        <w:rPr>
          <w:rFonts w:ascii="Times New Roman" w:hAnsi="Times New Roman"/>
          <w:b/>
          <w:sz w:val="24"/>
          <w:szCs w:val="24"/>
        </w:rPr>
        <w:lastRenderedPageBreak/>
        <w:t>LICZBA OSÓB BEZROBOTNYCH W POWIECIE CHODZIESKIM</w:t>
      </w:r>
    </w:p>
    <w:tbl>
      <w:tblPr>
        <w:tblW w:w="9464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12" w:space="0" w:color="76923C" w:themeColor="accent3" w:themeShade="BF"/>
          <w:insideV w:val="single" w:sz="12" w:space="0" w:color="76923C" w:themeColor="accent3" w:themeShade="BF"/>
        </w:tblBorders>
        <w:tblLayout w:type="fixed"/>
        <w:tblLook w:val="04A0"/>
      </w:tblPr>
      <w:tblGrid>
        <w:gridCol w:w="1809"/>
        <w:gridCol w:w="765"/>
        <w:gridCol w:w="766"/>
        <w:gridCol w:w="765"/>
        <w:gridCol w:w="766"/>
        <w:gridCol w:w="765"/>
        <w:gridCol w:w="766"/>
        <w:gridCol w:w="765"/>
        <w:gridCol w:w="766"/>
        <w:gridCol w:w="765"/>
        <w:gridCol w:w="766"/>
      </w:tblGrid>
      <w:tr w:rsidR="003F55D3" w:rsidRPr="00B82B60" w:rsidTr="00411EF7">
        <w:trPr>
          <w:trHeight w:val="553"/>
        </w:trPr>
        <w:tc>
          <w:tcPr>
            <w:tcW w:w="1809" w:type="dxa"/>
            <w:vMerge w:val="restart"/>
            <w:shd w:val="clear" w:color="auto" w:fill="D6E3BC" w:themeFill="accent3" w:themeFillTint="66"/>
          </w:tcPr>
          <w:p w:rsidR="003F55D3" w:rsidRPr="00D570E6" w:rsidRDefault="003F55D3" w:rsidP="00411E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F55D3" w:rsidRPr="00D570E6" w:rsidRDefault="003F55D3" w:rsidP="00411EF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70E6">
              <w:rPr>
                <w:rFonts w:ascii="Times New Roman" w:hAnsi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531" w:type="dxa"/>
            <w:gridSpan w:val="2"/>
            <w:shd w:val="clear" w:color="auto" w:fill="D6E3BC" w:themeFill="accent3" w:themeFillTint="66"/>
            <w:vAlign w:val="center"/>
          </w:tcPr>
          <w:p w:rsidR="003F55D3" w:rsidRPr="00411EF7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bCs/>
                <w:sz w:val="20"/>
                <w:szCs w:val="20"/>
              </w:rPr>
              <w:t>Stan na 31.12.2020r.</w:t>
            </w:r>
          </w:p>
        </w:tc>
        <w:tc>
          <w:tcPr>
            <w:tcW w:w="1531" w:type="dxa"/>
            <w:gridSpan w:val="2"/>
            <w:shd w:val="clear" w:color="auto" w:fill="D6E3BC" w:themeFill="accent3" w:themeFillTint="66"/>
            <w:vAlign w:val="center"/>
          </w:tcPr>
          <w:p w:rsidR="003F55D3" w:rsidRPr="00411EF7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bCs/>
                <w:sz w:val="20"/>
                <w:szCs w:val="20"/>
              </w:rPr>
              <w:t>Stan na 31.12.2021r.</w:t>
            </w:r>
          </w:p>
        </w:tc>
        <w:tc>
          <w:tcPr>
            <w:tcW w:w="1531" w:type="dxa"/>
            <w:gridSpan w:val="2"/>
            <w:shd w:val="clear" w:color="auto" w:fill="D6E3BC" w:themeFill="accent3" w:themeFillTint="66"/>
            <w:vAlign w:val="center"/>
          </w:tcPr>
          <w:p w:rsidR="003F55D3" w:rsidRPr="00411EF7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bCs/>
                <w:sz w:val="20"/>
                <w:szCs w:val="20"/>
              </w:rPr>
              <w:t>Stan na 31.12.2022r.</w:t>
            </w:r>
          </w:p>
        </w:tc>
        <w:tc>
          <w:tcPr>
            <w:tcW w:w="1531" w:type="dxa"/>
            <w:gridSpan w:val="2"/>
            <w:shd w:val="clear" w:color="auto" w:fill="D6E3BC" w:themeFill="accent3" w:themeFillTint="66"/>
          </w:tcPr>
          <w:p w:rsidR="003F55D3" w:rsidRPr="00411EF7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bCs/>
                <w:sz w:val="20"/>
                <w:szCs w:val="20"/>
              </w:rPr>
              <w:t>Stan na 31.12.2023r.</w:t>
            </w:r>
          </w:p>
        </w:tc>
        <w:tc>
          <w:tcPr>
            <w:tcW w:w="1531" w:type="dxa"/>
            <w:gridSpan w:val="2"/>
            <w:shd w:val="clear" w:color="auto" w:fill="D6E3BC" w:themeFill="accent3" w:themeFillTint="66"/>
          </w:tcPr>
          <w:p w:rsidR="003F55D3" w:rsidRPr="00411EF7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bCs/>
                <w:sz w:val="20"/>
                <w:szCs w:val="20"/>
              </w:rPr>
              <w:t>Stan na 31.12.2024r.</w:t>
            </w:r>
          </w:p>
        </w:tc>
      </w:tr>
      <w:tr w:rsidR="003F55D3" w:rsidRPr="00B82B60" w:rsidTr="003F55D3">
        <w:trPr>
          <w:cantSplit/>
          <w:trHeight w:val="932"/>
        </w:trPr>
        <w:tc>
          <w:tcPr>
            <w:tcW w:w="1809" w:type="dxa"/>
            <w:vMerge/>
            <w:shd w:val="clear" w:color="auto" w:fill="D6E3BC" w:themeFill="accent3" w:themeFillTint="66"/>
          </w:tcPr>
          <w:p w:rsidR="003F55D3" w:rsidRPr="00D570E6" w:rsidRDefault="003F55D3" w:rsidP="00411EF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6E3BC" w:themeFill="accent3" w:themeFillTint="66"/>
            <w:textDirection w:val="btLr"/>
          </w:tcPr>
          <w:p w:rsidR="003F55D3" w:rsidRPr="00411EF7" w:rsidRDefault="003F55D3" w:rsidP="00411EF7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766" w:type="dxa"/>
            <w:shd w:val="clear" w:color="auto" w:fill="D6E3BC" w:themeFill="accent3" w:themeFillTint="66"/>
            <w:textDirection w:val="btLr"/>
          </w:tcPr>
          <w:p w:rsidR="003F55D3" w:rsidRPr="00411EF7" w:rsidRDefault="003F55D3" w:rsidP="00411EF7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Kobiety</w:t>
            </w:r>
          </w:p>
        </w:tc>
        <w:tc>
          <w:tcPr>
            <w:tcW w:w="765" w:type="dxa"/>
            <w:shd w:val="clear" w:color="auto" w:fill="D6E3BC" w:themeFill="accent3" w:themeFillTint="66"/>
            <w:textDirection w:val="btLr"/>
          </w:tcPr>
          <w:p w:rsidR="003F55D3" w:rsidRPr="00411EF7" w:rsidRDefault="003F55D3" w:rsidP="00411EF7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766" w:type="dxa"/>
            <w:shd w:val="clear" w:color="auto" w:fill="D6E3BC" w:themeFill="accent3" w:themeFillTint="66"/>
            <w:textDirection w:val="btLr"/>
          </w:tcPr>
          <w:p w:rsidR="003F55D3" w:rsidRPr="00411EF7" w:rsidRDefault="003F55D3" w:rsidP="00411EF7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Kobiety</w:t>
            </w:r>
          </w:p>
        </w:tc>
        <w:tc>
          <w:tcPr>
            <w:tcW w:w="765" w:type="dxa"/>
            <w:shd w:val="clear" w:color="auto" w:fill="D6E3BC" w:themeFill="accent3" w:themeFillTint="66"/>
            <w:textDirection w:val="btLr"/>
          </w:tcPr>
          <w:p w:rsidR="003F55D3" w:rsidRPr="00411EF7" w:rsidRDefault="003F55D3" w:rsidP="00411EF7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766" w:type="dxa"/>
            <w:shd w:val="clear" w:color="auto" w:fill="D6E3BC" w:themeFill="accent3" w:themeFillTint="66"/>
            <w:textDirection w:val="btLr"/>
          </w:tcPr>
          <w:p w:rsidR="003F55D3" w:rsidRPr="00411EF7" w:rsidRDefault="003F55D3" w:rsidP="00411EF7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Kobiety</w:t>
            </w:r>
          </w:p>
        </w:tc>
        <w:tc>
          <w:tcPr>
            <w:tcW w:w="765" w:type="dxa"/>
            <w:shd w:val="clear" w:color="auto" w:fill="D6E3BC" w:themeFill="accent3" w:themeFillTint="66"/>
            <w:textDirection w:val="btLr"/>
          </w:tcPr>
          <w:p w:rsidR="003F55D3" w:rsidRPr="00411EF7" w:rsidRDefault="003F55D3" w:rsidP="00411EF7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766" w:type="dxa"/>
            <w:shd w:val="clear" w:color="auto" w:fill="D6E3BC" w:themeFill="accent3" w:themeFillTint="66"/>
            <w:textDirection w:val="btLr"/>
          </w:tcPr>
          <w:p w:rsidR="003F55D3" w:rsidRPr="00411EF7" w:rsidRDefault="003F55D3" w:rsidP="00411EF7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Kobiety</w:t>
            </w:r>
          </w:p>
        </w:tc>
        <w:tc>
          <w:tcPr>
            <w:tcW w:w="765" w:type="dxa"/>
            <w:shd w:val="clear" w:color="auto" w:fill="D6E3BC" w:themeFill="accent3" w:themeFillTint="66"/>
            <w:textDirection w:val="btLr"/>
          </w:tcPr>
          <w:p w:rsidR="003F55D3" w:rsidRPr="00411EF7" w:rsidRDefault="003F55D3" w:rsidP="00411EF7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766" w:type="dxa"/>
            <w:shd w:val="clear" w:color="auto" w:fill="D6E3BC" w:themeFill="accent3" w:themeFillTint="66"/>
            <w:textDirection w:val="btLr"/>
          </w:tcPr>
          <w:p w:rsidR="003F55D3" w:rsidRPr="00411EF7" w:rsidRDefault="003F55D3" w:rsidP="00411EF7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Kobiety</w:t>
            </w:r>
          </w:p>
        </w:tc>
      </w:tr>
      <w:tr w:rsidR="003F55D3" w:rsidRPr="00B82B60" w:rsidTr="00680573">
        <w:trPr>
          <w:trHeight w:val="461"/>
        </w:trPr>
        <w:tc>
          <w:tcPr>
            <w:tcW w:w="1809" w:type="dxa"/>
            <w:shd w:val="clear" w:color="auto" w:fill="FFFFFF" w:themeFill="background1"/>
          </w:tcPr>
          <w:p w:rsidR="003F55D3" w:rsidRPr="00D570E6" w:rsidRDefault="003F55D3" w:rsidP="00411EF7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70E6">
              <w:rPr>
                <w:rFonts w:ascii="Times New Roman" w:hAnsi="Times New Roman"/>
                <w:b/>
                <w:bCs/>
                <w:sz w:val="20"/>
                <w:szCs w:val="20"/>
              </w:rPr>
              <w:t>Miasto Chodzież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sz w:val="20"/>
                <w:szCs w:val="20"/>
              </w:rPr>
              <w:t>521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470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D570E6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70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55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445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443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68057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243</w:t>
            </w:r>
          </w:p>
        </w:tc>
      </w:tr>
      <w:tr w:rsidR="003F55D3" w:rsidRPr="00B82B60" w:rsidTr="00680573">
        <w:trPr>
          <w:trHeight w:val="450"/>
        </w:trPr>
        <w:tc>
          <w:tcPr>
            <w:tcW w:w="1809" w:type="dxa"/>
            <w:shd w:val="clear" w:color="auto" w:fill="FFFFFF" w:themeFill="background1"/>
          </w:tcPr>
          <w:p w:rsidR="003F55D3" w:rsidRPr="00D570E6" w:rsidRDefault="003F55D3" w:rsidP="00411EF7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70E6">
              <w:rPr>
                <w:rFonts w:ascii="Times New Roman" w:hAnsi="Times New Roman"/>
                <w:b/>
                <w:bCs/>
                <w:sz w:val="20"/>
                <w:szCs w:val="20"/>
              </w:rPr>
              <w:t>Gmina Chodzież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sz w:val="20"/>
                <w:szCs w:val="20"/>
              </w:rPr>
              <w:t>206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D570E6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70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55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68057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</w:t>
            </w:r>
          </w:p>
        </w:tc>
      </w:tr>
      <w:tr w:rsidR="003F55D3" w:rsidRPr="00B82B60" w:rsidTr="00680573">
        <w:trPr>
          <w:trHeight w:val="450"/>
        </w:trPr>
        <w:tc>
          <w:tcPr>
            <w:tcW w:w="1809" w:type="dxa"/>
            <w:shd w:val="clear" w:color="auto" w:fill="FFFFFF" w:themeFill="background1"/>
          </w:tcPr>
          <w:p w:rsidR="003F55D3" w:rsidRPr="00D570E6" w:rsidRDefault="003F55D3" w:rsidP="00411E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70E6">
              <w:rPr>
                <w:rFonts w:ascii="Times New Roman" w:hAnsi="Times New Roman"/>
                <w:b/>
                <w:bCs/>
                <w:sz w:val="20"/>
                <w:szCs w:val="20"/>
              </w:rPr>
              <w:t>Miasto i Gmina Budzyń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sz w:val="20"/>
                <w:szCs w:val="20"/>
              </w:rPr>
              <w:t>223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D570E6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70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55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68057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143</w:t>
            </w:r>
          </w:p>
        </w:tc>
      </w:tr>
      <w:tr w:rsidR="003F55D3" w:rsidRPr="00B82B60" w:rsidTr="00680573">
        <w:trPr>
          <w:trHeight w:val="461"/>
        </w:trPr>
        <w:tc>
          <w:tcPr>
            <w:tcW w:w="1809" w:type="dxa"/>
            <w:shd w:val="clear" w:color="auto" w:fill="FFFFFF" w:themeFill="background1"/>
          </w:tcPr>
          <w:p w:rsidR="003F55D3" w:rsidRPr="00D570E6" w:rsidRDefault="003F55D3" w:rsidP="00411E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70E6">
              <w:rPr>
                <w:rFonts w:ascii="Times New Roman" w:hAnsi="Times New Roman"/>
                <w:b/>
                <w:bCs/>
                <w:sz w:val="20"/>
                <w:szCs w:val="20"/>
              </w:rPr>
              <w:t>Miasto i Gmina Margonin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sz w:val="20"/>
                <w:szCs w:val="20"/>
              </w:rPr>
              <w:t>293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243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D570E6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70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239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55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247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68057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</w:t>
            </w:r>
          </w:p>
        </w:tc>
      </w:tr>
      <w:tr w:rsidR="003F55D3" w:rsidRPr="00B82B60" w:rsidTr="00680573">
        <w:trPr>
          <w:trHeight w:val="450"/>
        </w:trPr>
        <w:tc>
          <w:tcPr>
            <w:tcW w:w="1809" w:type="dxa"/>
            <w:shd w:val="clear" w:color="auto" w:fill="FFFFFF" w:themeFill="background1"/>
          </w:tcPr>
          <w:p w:rsidR="003F55D3" w:rsidRPr="00D570E6" w:rsidRDefault="003F55D3" w:rsidP="00411E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70E6">
              <w:rPr>
                <w:rFonts w:ascii="Times New Roman" w:hAnsi="Times New Roman"/>
                <w:b/>
                <w:bCs/>
                <w:sz w:val="20"/>
                <w:szCs w:val="20"/>
              </w:rPr>
              <w:t>Miasto i Gmina Szamocin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sz w:val="20"/>
                <w:szCs w:val="20"/>
              </w:rPr>
              <w:t>368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D570E6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70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55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3F55D3" w:rsidRDefault="00680573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</w:t>
            </w:r>
          </w:p>
        </w:tc>
      </w:tr>
      <w:tr w:rsidR="003F55D3" w:rsidRPr="00B82B60" w:rsidTr="00680573">
        <w:trPr>
          <w:trHeight w:val="461"/>
        </w:trPr>
        <w:tc>
          <w:tcPr>
            <w:tcW w:w="1809" w:type="dxa"/>
            <w:shd w:val="clear" w:color="auto" w:fill="FFFFFF" w:themeFill="background1"/>
          </w:tcPr>
          <w:p w:rsidR="003F55D3" w:rsidRPr="00D570E6" w:rsidRDefault="003F55D3" w:rsidP="00411E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70E6">
              <w:rPr>
                <w:rFonts w:ascii="Times New Roman" w:hAnsi="Times New Roman"/>
                <w:b/>
                <w:bCs/>
                <w:sz w:val="20"/>
                <w:szCs w:val="20"/>
              </w:rPr>
              <w:t>Powiat ogółem: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sz w:val="20"/>
                <w:szCs w:val="20"/>
              </w:rPr>
              <w:t>1611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sz w:val="20"/>
                <w:szCs w:val="20"/>
              </w:rPr>
              <w:t>1014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1375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1301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1410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871</w:t>
            </w:r>
          </w:p>
        </w:tc>
        <w:tc>
          <w:tcPr>
            <w:tcW w:w="765" w:type="dxa"/>
            <w:shd w:val="clear" w:color="auto" w:fill="FFFFFF" w:themeFill="background1"/>
          </w:tcPr>
          <w:p w:rsidR="003F55D3" w:rsidRPr="00680573" w:rsidRDefault="003F55D3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1392</w:t>
            </w:r>
          </w:p>
        </w:tc>
        <w:tc>
          <w:tcPr>
            <w:tcW w:w="766" w:type="dxa"/>
            <w:shd w:val="clear" w:color="auto" w:fill="FFFFFF" w:themeFill="background1"/>
          </w:tcPr>
          <w:p w:rsidR="003F55D3" w:rsidRPr="00680573" w:rsidRDefault="00680573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05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821</w:t>
            </w:r>
          </w:p>
        </w:tc>
      </w:tr>
    </w:tbl>
    <w:p w:rsidR="002D0993" w:rsidRDefault="002D0993" w:rsidP="00411E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BBB" w:rsidRDefault="004F5027" w:rsidP="00411EF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5027">
        <w:rPr>
          <w:rFonts w:ascii="Times New Roman" w:hAnsi="Times New Roman"/>
          <w:b/>
          <w:sz w:val="24"/>
          <w:szCs w:val="24"/>
        </w:rPr>
        <w:t xml:space="preserve">STRUKTURA </w:t>
      </w:r>
      <w:r w:rsidR="008D43A9">
        <w:rPr>
          <w:rFonts w:ascii="Times New Roman" w:hAnsi="Times New Roman"/>
          <w:b/>
          <w:sz w:val="24"/>
          <w:szCs w:val="24"/>
        </w:rPr>
        <w:t xml:space="preserve">OSÓB </w:t>
      </w:r>
      <w:r w:rsidRPr="004F5027">
        <w:rPr>
          <w:rFonts w:ascii="Times New Roman" w:hAnsi="Times New Roman"/>
          <w:b/>
          <w:sz w:val="24"/>
          <w:szCs w:val="24"/>
        </w:rPr>
        <w:t>BEZROBOTNYCH W POWIECIE CHODZIESKIM</w:t>
      </w:r>
    </w:p>
    <w:tbl>
      <w:tblPr>
        <w:tblW w:w="9464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12" w:space="0" w:color="76923C" w:themeColor="accent3" w:themeShade="BF"/>
          <w:insideV w:val="single" w:sz="12" w:space="0" w:color="76923C" w:themeColor="accent3" w:themeShade="BF"/>
        </w:tblBorders>
        <w:tblLayout w:type="fixed"/>
        <w:tblLook w:val="04A0"/>
      </w:tblPr>
      <w:tblGrid>
        <w:gridCol w:w="2093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4F5027" w:rsidRPr="00D570E6" w:rsidTr="00411EF7">
        <w:trPr>
          <w:trHeight w:val="506"/>
        </w:trPr>
        <w:tc>
          <w:tcPr>
            <w:tcW w:w="2093" w:type="dxa"/>
            <w:vMerge w:val="restart"/>
            <w:shd w:val="clear" w:color="auto" w:fill="D6E3BC" w:themeFill="accent3" w:themeFillTint="66"/>
          </w:tcPr>
          <w:p w:rsidR="004F5027" w:rsidRPr="00411EF7" w:rsidRDefault="004F5027" w:rsidP="00411E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F5027" w:rsidRPr="00411EF7" w:rsidRDefault="004F5027" w:rsidP="00411EF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74" w:type="dxa"/>
            <w:gridSpan w:val="2"/>
            <w:tcBorders>
              <w:bottom w:val="single" w:sz="12" w:space="0" w:color="76923C" w:themeColor="accent3" w:themeShade="BF"/>
            </w:tcBorders>
            <w:shd w:val="clear" w:color="auto" w:fill="D6E3BC" w:themeFill="accent3" w:themeFillTint="66"/>
            <w:vAlign w:val="center"/>
          </w:tcPr>
          <w:p w:rsidR="004F5027" w:rsidRPr="00411EF7" w:rsidRDefault="004F502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bCs/>
                <w:sz w:val="20"/>
                <w:szCs w:val="20"/>
              </w:rPr>
              <w:t>Stan na 31.12.2020r.</w:t>
            </w:r>
          </w:p>
        </w:tc>
        <w:tc>
          <w:tcPr>
            <w:tcW w:w="1474" w:type="dxa"/>
            <w:gridSpan w:val="2"/>
            <w:shd w:val="clear" w:color="auto" w:fill="D6E3BC" w:themeFill="accent3" w:themeFillTint="66"/>
            <w:vAlign w:val="center"/>
          </w:tcPr>
          <w:p w:rsidR="004F5027" w:rsidRPr="00411EF7" w:rsidRDefault="004F502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bCs/>
                <w:sz w:val="20"/>
                <w:szCs w:val="20"/>
              </w:rPr>
              <w:t>Stan na 31.12.2021r.</w:t>
            </w:r>
          </w:p>
        </w:tc>
        <w:tc>
          <w:tcPr>
            <w:tcW w:w="1474" w:type="dxa"/>
            <w:gridSpan w:val="2"/>
            <w:shd w:val="clear" w:color="auto" w:fill="D6E3BC" w:themeFill="accent3" w:themeFillTint="66"/>
            <w:vAlign w:val="center"/>
          </w:tcPr>
          <w:p w:rsidR="004F5027" w:rsidRPr="00411EF7" w:rsidRDefault="004F502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bCs/>
                <w:sz w:val="20"/>
                <w:szCs w:val="20"/>
              </w:rPr>
              <w:t>Stan na 31.12.2022r.</w:t>
            </w:r>
          </w:p>
        </w:tc>
        <w:tc>
          <w:tcPr>
            <w:tcW w:w="1474" w:type="dxa"/>
            <w:gridSpan w:val="2"/>
            <w:shd w:val="clear" w:color="auto" w:fill="D6E3BC" w:themeFill="accent3" w:themeFillTint="66"/>
          </w:tcPr>
          <w:p w:rsidR="004F5027" w:rsidRPr="00411EF7" w:rsidRDefault="004F502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bCs/>
                <w:sz w:val="20"/>
                <w:szCs w:val="20"/>
              </w:rPr>
              <w:t>Stan na 31.12.2023r.</w:t>
            </w:r>
          </w:p>
        </w:tc>
        <w:tc>
          <w:tcPr>
            <w:tcW w:w="1475" w:type="dxa"/>
            <w:gridSpan w:val="2"/>
            <w:shd w:val="clear" w:color="auto" w:fill="D6E3BC" w:themeFill="accent3" w:themeFillTint="66"/>
          </w:tcPr>
          <w:p w:rsidR="004F5027" w:rsidRPr="00411EF7" w:rsidRDefault="004F502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bCs/>
                <w:sz w:val="20"/>
                <w:szCs w:val="20"/>
              </w:rPr>
              <w:t>Stan na 31.12.2024r.</w:t>
            </w:r>
          </w:p>
        </w:tc>
      </w:tr>
      <w:tr w:rsidR="004F5027" w:rsidRPr="00D570E6" w:rsidTr="00411EF7">
        <w:trPr>
          <w:cantSplit/>
          <w:trHeight w:val="883"/>
        </w:trPr>
        <w:tc>
          <w:tcPr>
            <w:tcW w:w="2093" w:type="dxa"/>
            <w:vMerge/>
            <w:shd w:val="clear" w:color="auto" w:fill="D6E3BC" w:themeFill="accent3" w:themeFillTint="66"/>
          </w:tcPr>
          <w:p w:rsidR="004F5027" w:rsidRPr="00411EF7" w:rsidRDefault="004F5027" w:rsidP="00411EF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76923C" w:themeColor="accent3" w:themeShade="BF"/>
            </w:tcBorders>
            <w:shd w:val="clear" w:color="auto" w:fill="D6E3BC" w:themeFill="accent3" w:themeFillTint="66"/>
            <w:textDirection w:val="btLr"/>
            <w:vAlign w:val="center"/>
          </w:tcPr>
          <w:p w:rsidR="004F5027" w:rsidRPr="00411EF7" w:rsidRDefault="00784943" w:rsidP="00411EF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powiat</w:t>
            </w:r>
          </w:p>
        </w:tc>
        <w:tc>
          <w:tcPr>
            <w:tcW w:w="737" w:type="dxa"/>
            <w:tcBorders>
              <w:bottom w:val="single" w:sz="12" w:space="0" w:color="76923C" w:themeColor="accent3" w:themeShade="BF"/>
            </w:tcBorders>
            <w:shd w:val="clear" w:color="auto" w:fill="D6E3BC" w:themeFill="accent3" w:themeFillTint="66"/>
            <w:textDirection w:val="btLr"/>
            <w:vAlign w:val="center"/>
          </w:tcPr>
          <w:p w:rsidR="004F5027" w:rsidRPr="00411EF7" w:rsidRDefault="00784943" w:rsidP="00411EF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% ogółu</w:t>
            </w:r>
          </w:p>
        </w:tc>
        <w:tc>
          <w:tcPr>
            <w:tcW w:w="737" w:type="dxa"/>
            <w:tcBorders>
              <w:bottom w:val="single" w:sz="12" w:space="0" w:color="76923C" w:themeColor="accent3" w:themeShade="BF"/>
            </w:tcBorders>
            <w:shd w:val="clear" w:color="auto" w:fill="D6E3BC" w:themeFill="accent3" w:themeFillTint="66"/>
            <w:textDirection w:val="btLr"/>
            <w:vAlign w:val="center"/>
          </w:tcPr>
          <w:p w:rsidR="004F5027" w:rsidRPr="00411EF7" w:rsidRDefault="00784943" w:rsidP="00411EF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powiat</w:t>
            </w:r>
          </w:p>
        </w:tc>
        <w:tc>
          <w:tcPr>
            <w:tcW w:w="737" w:type="dxa"/>
            <w:tcBorders>
              <w:bottom w:val="single" w:sz="12" w:space="0" w:color="76923C" w:themeColor="accent3" w:themeShade="BF"/>
            </w:tcBorders>
            <w:shd w:val="clear" w:color="auto" w:fill="D6E3BC" w:themeFill="accent3" w:themeFillTint="66"/>
            <w:textDirection w:val="btLr"/>
            <w:vAlign w:val="center"/>
          </w:tcPr>
          <w:p w:rsidR="004F5027" w:rsidRPr="00411EF7" w:rsidRDefault="00784943" w:rsidP="00411EF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% ogółu</w:t>
            </w:r>
          </w:p>
        </w:tc>
        <w:tc>
          <w:tcPr>
            <w:tcW w:w="737" w:type="dxa"/>
            <w:tcBorders>
              <w:bottom w:val="single" w:sz="12" w:space="0" w:color="76923C" w:themeColor="accent3" w:themeShade="BF"/>
            </w:tcBorders>
            <w:shd w:val="clear" w:color="auto" w:fill="D6E3BC" w:themeFill="accent3" w:themeFillTint="66"/>
            <w:textDirection w:val="btLr"/>
            <w:vAlign w:val="center"/>
          </w:tcPr>
          <w:p w:rsidR="004F5027" w:rsidRPr="00411EF7" w:rsidRDefault="00784943" w:rsidP="00411EF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powiat</w:t>
            </w:r>
          </w:p>
        </w:tc>
        <w:tc>
          <w:tcPr>
            <w:tcW w:w="737" w:type="dxa"/>
            <w:tcBorders>
              <w:bottom w:val="single" w:sz="12" w:space="0" w:color="76923C" w:themeColor="accent3" w:themeShade="BF"/>
            </w:tcBorders>
            <w:shd w:val="clear" w:color="auto" w:fill="D6E3BC" w:themeFill="accent3" w:themeFillTint="66"/>
            <w:textDirection w:val="btLr"/>
            <w:vAlign w:val="center"/>
          </w:tcPr>
          <w:p w:rsidR="004F5027" w:rsidRPr="00411EF7" w:rsidRDefault="00784943" w:rsidP="00411EF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% ogółu</w:t>
            </w:r>
          </w:p>
        </w:tc>
        <w:tc>
          <w:tcPr>
            <w:tcW w:w="737" w:type="dxa"/>
            <w:tcBorders>
              <w:bottom w:val="single" w:sz="12" w:space="0" w:color="76923C" w:themeColor="accent3" w:themeShade="BF"/>
            </w:tcBorders>
            <w:shd w:val="clear" w:color="auto" w:fill="D6E3BC" w:themeFill="accent3" w:themeFillTint="66"/>
            <w:textDirection w:val="btLr"/>
            <w:vAlign w:val="center"/>
          </w:tcPr>
          <w:p w:rsidR="004F5027" w:rsidRPr="00411EF7" w:rsidRDefault="00784943" w:rsidP="00411EF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powiat</w:t>
            </w:r>
          </w:p>
        </w:tc>
        <w:tc>
          <w:tcPr>
            <w:tcW w:w="737" w:type="dxa"/>
            <w:tcBorders>
              <w:bottom w:val="single" w:sz="12" w:space="0" w:color="76923C" w:themeColor="accent3" w:themeShade="BF"/>
            </w:tcBorders>
            <w:shd w:val="clear" w:color="auto" w:fill="D6E3BC" w:themeFill="accent3" w:themeFillTint="66"/>
            <w:textDirection w:val="btLr"/>
            <w:vAlign w:val="center"/>
          </w:tcPr>
          <w:p w:rsidR="004F5027" w:rsidRPr="00411EF7" w:rsidRDefault="00784943" w:rsidP="00411EF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% ogółu</w:t>
            </w:r>
          </w:p>
        </w:tc>
        <w:tc>
          <w:tcPr>
            <w:tcW w:w="737" w:type="dxa"/>
            <w:tcBorders>
              <w:bottom w:val="single" w:sz="12" w:space="0" w:color="76923C" w:themeColor="accent3" w:themeShade="BF"/>
            </w:tcBorders>
            <w:shd w:val="clear" w:color="auto" w:fill="D6E3BC" w:themeFill="accent3" w:themeFillTint="66"/>
            <w:textDirection w:val="btLr"/>
            <w:vAlign w:val="center"/>
          </w:tcPr>
          <w:p w:rsidR="004F5027" w:rsidRPr="00411EF7" w:rsidRDefault="00784943" w:rsidP="00411EF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powiat</w:t>
            </w:r>
          </w:p>
        </w:tc>
        <w:tc>
          <w:tcPr>
            <w:tcW w:w="738" w:type="dxa"/>
            <w:tcBorders>
              <w:bottom w:val="single" w:sz="12" w:space="0" w:color="76923C" w:themeColor="accent3" w:themeShade="BF"/>
            </w:tcBorders>
            <w:shd w:val="clear" w:color="auto" w:fill="D6E3BC" w:themeFill="accent3" w:themeFillTint="66"/>
            <w:textDirection w:val="btLr"/>
            <w:vAlign w:val="center"/>
          </w:tcPr>
          <w:p w:rsidR="004F5027" w:rsidRPr="00411EF7" w:rsidRDefault="00784943" w:rsidP="00411EF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1EF7">
              <w:rPr>
                <w:rFonts w:ascii="Times New Roman" w:hAnsi="Times New Roman"/>
                <w:b/>
                <w:sz w:val="20"/>
                <w:szCs w:val="20"/>
              </w:rPr>
              <w:t>% ogółu</w:t>
            </w:r>
          </w:p>
        </w:tc>
      </w:tr>
      <w:tr w:rsidR="004F5027" w:rsidRPr="003F55D3" w:rsidTr="00411EF7">
        <w:trPr>
          <w:trHeight w:val="461"/>
        </w:trPr>
        <w:tc>
          <w:tcPr>
            <w:tcW w:w="2093" w:type="dxa"/>
            <w:shd w:val="clear" w:color="auto" w:fill="FFFFFF" w:themeFill="background1"/>
          </w:tcPr>
          <w:p w:rsidR="004F5027" w:rsidRPr="00D570E6" w:rsidRDefault="00784943" w:rsidP="00411EF7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Bez prawa do zasiłku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A1459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1310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A1459A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81%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A1459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1206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D570E6" w:rsidRDefault="00A1459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88%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A1459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1108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3F55D3" w:rsidRDefault="00A1459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85%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1233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3F55D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87%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1205</w:t>
            </w:r>
          </w:p>
        </w:tc>
        <w:tc>
          <w:tcPr>
            <w:tcW w:w="738" w:type="dxa"/>
            <w:shd w:val="clear" w:color="auto" w:fill="FFFFFF" w:themeFill="background1"/>
          </w:tcPr>
          <w:p w:rsidR="004F5027" w:rsidRPr="003F55D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87%</w:t>
            </w:r>
          </w:p>
        </w:tc>
      </w:tr>
      <w:tr w:rsidR="004F5027" w:rsidRPr="003F55D3" w:rsidTr="00411EF7">
        <w:trPr>
          <w:trHeight w:val="450"/>
        </w:trPr>
        <w:tc>
          <w:tcPr>
            <w:tcW w:w="2093" w:type="dxa"/>
            <w:shd w:val="clear" w:color="auto" w:fill="FFFFFF" w:themeFill="background1"/>
          </w:tcPr>
          <w:p w:rsidR="004F5027" w:rsidRPr="00D570E6" w:rsidRDefault="00784943" w:rsidP="00411EF7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Zamieszkali na wsi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782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49%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564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D570E6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41%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554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3F55D3" w:rsidRDefault="00CA12F7" w:rsidP="00CA12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43%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601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3F55D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43%</w:t>
            </w:r>
          </w:p>
        </w:tc>
        <w:tc>
          <w:tcPr>
            <w:tcW w:w="737" w:type="dxa"/>
            <w:shd w:val="clear" w:color="auto" w:fill="FFFFFF" w:themeFill="background1"/>
          </w:tcPr>
          <w:p w:rsidR="004F5027" w:rsidRPr="00680573" w:rsidRDefault="003B711A" w:rsidP="003B711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589</w:t>
            </w:r>
          </w:p>
        </w:tc>
        <w:tc>
          <w:tcPr>
            <w:tcW w:w="738" w:type="dxa"/>
            <w:shd w:val="clear" w:color="auto" w:fill="FFFFFF" w:themeFill="background1"/>
          </w:tcPr>
          <w:p w:rsidR="004F5027" w:rsidRPr="003F55D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42%</w:t>
            </w:r>
          </w:p>
        </w:tc>
      </w:tr>
      <w:tr w:rsidR="008D43A9" w:rsidRPr="003F55D3" w:rsidTr="00411EF7">
        <w:trPr>
          <w:trHeight w:val="450"/>
        </w:trPr>
        <w:tc>
          <w:tcPr>
            <w:tcW w:w="2093" w:type="dxa"/>
            <w:shd w:val="clear" w:color="auto" w:fill="FFFFFF" w:themeFill="background1"/>
          </w:tcPr>
          <w:p w:rsidR="008D43A9" w:rsidRPr="00D570E6" w:rsidRDefault="008D43A9" w:rsidP="00A145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Cudzoziemcy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D570E6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3F55D3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3F55D3" w:rsidRDefault="003B711A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8" w:type="dxa"/>
            <w:shd w:val="clear" w:color="auto" w:fill="FFFFFF" w:themeFill="background1"/>
          </w:tcPr>
          <w:p w:rsidR="008D43A9" w:rsidRPr="003F55D3" w:rsidRDefault="003B711A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1%</w:t>
            </w:r>
          </w:p>
        </w:tc>
      </w:tr>
      <w:tr w:rsidR="008D43A9" w:rsidRPr="003F55D3" w:rsidTr="00411EF7">
        <w:trPr>
          <w:trHeight w:val="461"/>
        </w:trPr>
        <w:tc>
          <w:tcPr>
            <w:tcW w:w="2093" w:type="dxa"/>
            <w:shd w:val="clear" w:color="auto" w:fill="FFFFFF" w:themeFill="background1"/>
          </w:tcPr>
          <w:p w:rsidR="008D43A9" w:rsidRPr="00D570E6" w:rsidRDefault="008D43A9" w:rsidP="00A145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Bez kwalifikacji zawodowych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324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D570E6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3F55D3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3F55D3" w:rsidRDefault="003B711A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3B71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294</w:t>
            </w:r>
          </w:p>
        </w:tc>
        <w:tc>
          <w:tcPr>
            <w:tcW w:w="738" w:type="dxa"/>
            <w:shd w:val="clear" w:color="auto" w:fill="FFFFFF" w:themeFill="background1"/>
          </w:tcPr>
          <w:p w:rsidR="008D43A9" w:rsidRPr="003F55D3" w:rsidRDefault="003B711A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21%</w:t>
            </w:r>
          </w:p>
        </w:tc>
      </w:tr>
      <w:tr w:rsidR="008D43A9" w:rsidRPr="003F55D3" w:rsidTr="00411EF7">
        <w:trPr>
          <w:trHeight w:val="450"/>
        </w:trPr>
        <w:tc>
          <w:tcPr>
            <w:tcW w:w="2093" w:type="dxa"/>
            <w:shd w:val="clear" w:color="auto" w:fill="FFFFFF" w:themeFill="background1"/>
          </w:tcPr>
          <w:p w:rsidR="008D43A9" w:rsidRPr="00D570E6" w:rsidRDefault="008D43A9" w:rsidP="00A145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Bez doświadczenia zawodowego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197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D570E6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3F55D3" w:rsidRDefault="00CA12F7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3F55D3" w:rsidRDefault="003B711A" w:rsidP="00411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738" w:type="dxa"/>
            <w:shd w:val="clear" w:color="auto" w:fill="FFFFFF" w:themeFill="background1"/>
          </w:tcPr>
          <w:p w:rsidR="008D43A9" w:rsidRPr="003F55D3" w:rsidRDefault="003B711A" w:rsidP="003B71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16%</w:t>
            </w:r>
          </w:p>
        </w:tc>
      </w:tr>
      <w:tr w:rsidR="008D43A9" w:rsidRPr="00680573" w:rsidTr="00411EF7">
        <w:trPr>
          <w:trHeight w:val="461"/>
        </w:trPr>
        <w:tc>
          <w:tcPr>
            <w:tcW w:w="2093" w:type="dxa"/>
            <w:shd w:val="clear" w:color="auto" w:fill="FFFFFF" w:themeFill="background1"/>
          </w:tcPr>
          <w:p w:rsidR="008D43A9" w:rsidRPr="008D43A9" w:rsidRDefault="008D43A9" w:rsidP="00A145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43A9">
              <w:rPr>
                <w:rFonts w:ascii="Times New Roman" w:hAnsi="Times New Roman"/>
                <w:b/>
                <w:bCs/>
                <w:sz w:val="20"/>
                <w:szCs w:val="20"/>
              </w:rPr>
              <w:t>Kobiety, które nie podjęły zatrudnienia po urodzeniu dziecka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264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211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738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13%</w:t>
            </w:r>
          </w:p>
        </w:tc>
      </w:tr>
      <w:tr w:rsidR="008D43A9" w:rsidRPr="00680573" w:rsidTr="00411EF7">
        <w:trPr>
          <w:trHeight w:val="461"/>
        </w:trPr>
        <w:tc>
          <w:tcPr>
            <w:tcW w:w="2093" w:type="dxa"/>
            <w:shd w:val="clear" w:color="auto" w:fill="FFFFFF" w:themeFill="background1"/>
          </w:tcPr>
          <w:p w:rsidR="008D43A9" w:rsidRDefault="008D43A9" w:rsidP="00A145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Osoby do 30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415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376</w:t>
            </w:r>
          </w:p>
        </w:tc>
        <w:tc>
          <w:tcPr>
            <w:tcW w:w="738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27%</w:t>
            </w:r>
          </w:p>
        </w:tc>
      </w:tr>
      <w:tr w:rsidR="008D43A9" w:rsidRPr="00680573" w:rsidTr="00411EF7">
        <w:trPr>
          <w:trHeight w:val="461"/>
        </w:trPr>
        <w:tc>
          <w:tcPr>
            <w:tcW w:w="2093" w:type="dxa"/>
            <w:shd w:val="clear" w:color="auto" w:fill="FFFFFF" w:themeFill="background1"/>
          </w:tcPr>
          <w:p w:rsidR="008D43A9" w:rsidRDefault="008D43A9" w:rsidP="00A145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w tym do 25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738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15%</w:t>
            </w:r>
          </w:p>
        </w:tc>
      </w:tr>
      <w:tr w:rsidR="008D43A9" w:rsidRPr="00680573" w:rsidTr="00411EF7">
        <w:trPr>
          <w:trHeight w:val="461"/>
        </w:trPr>
        <w:tc>
          <w:tcPr>
            <w:tcW w:w="2093" w:type="dxa"/>
            <w:shd w:val="clear" w:color="auto" w:fill="FFFFFF" w:themeFill="background1"/>
          </w:tcPr>
          <w:p w:rsidR="008D43A9" w:rsidRDefault="008D43A9" w:rsidP="00A145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Długotrwale bezrobotni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CA12F7" w:rsidP="00A6172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</w:t>
            </w:r>
            <w:r w:rsidR="00A6172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790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676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680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714</w:t>
            </w:r>
          </w:p>
        </w:tc>
        <w:tc>
          <w:tcPr>
            <w:tcW w:w="738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51%</w:t>
            </w:r>
          </w:p>
        </w:tc>
      </w:tr>
      <w:tr w:rsidR="008D43A9" w:rsidRPr="00680573" w:rsidTr="00411EF7">
        <w:trPr>
          <w:trHeight w:val="461"/>
        </w:trPr>
        <w:tc>
          <w:tcPr>
            <w:tcW w:w="2093" w:type="dxa"/>
            <w:shd w:val="clear" w:color="auto" w:fill="FFFFFF" w:themeFill="background1"/>
          </w:tcPr>
          <w:p w:rsidR="008D43A9" w:rsidRDefault="008D43A9" w:rsidP="00A145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Osoby powyżej 50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440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404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378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366</w:t>
            </w:r>
          </w:p>
        </w:tc>
        <w:tc>
          <w:tcPr>
            <w:tcW w:w="738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26%</w:t>
            </w:r>
          </w:p>
        </w:tc>
      </w:tr>
      <w:tr w:rsidR="008D43A9" w:rsidRPr="00680573" w:rsidTr="00411EF7">
        <w:trPr>
          <w:trHeight w:val="461"/>
        </w:trPr>
        <w:tc>
          <w:tcPr>
            <w:tcW w:w="2093" w:type="dxa"/>
            <w:shd w:val="clear" w:color="auto" w:fill="FFFFFF" w:themeFill="background1"/>
          </w:tcPr>
          <w:p w:rsidR="008D43A9" w:rsidRDefault="008D43A9" w:rsidP="004E797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Posiadające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conajm</w:t>
            </w:r>
            <w:r w:rsidR="004E7976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iej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 dziecko do 6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315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14%</w:t>
            </w:r>
          </w:p>
        </w:tc>
        <w:tc>
          <w:tcPr>
            <w:tcW w:w="737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738" w:type="dxa"/>
            <w:shd w:val="clear" w:color="auto" w:fill="FFFFFF" w:themeFill="background1"/>
          </w:tcPr>
          <w:p w:rsidR="008D43A9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11%</w:t>
            </w:r>
          </w:p>
        </w:tc>
      </w:tr>
      <w:tr w:rsidR="00784943" w:rsidRPr="00680573" w:rsidTr="00411EF7">
        <w:trPr>
          <w:trHeight w:val="461"/>
        </w:trPr>
        <w:tc>
          <w:tcPr>
            <w:tcW w:w="2093" w:type="dxa"/>
            <w:shd w:val="clear" w:color="auto" w:fill="FFFFFF" w:themeFill="background1"/>
          </w:tcPr>
          <w:p w:rsidR="00784943" w:rsidRPr="008D43A9" w:rsidRDefault="008D43A9" w:rsidP="008D43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Niepełnosprawni</w:t>
            </w:r>
          </w:p>
        </w:tc>
        <w:tc>
          <w:tcPr>
            <w:tcW w:w="737" w:type="dxa"/>
            <w:shd w:val="clear" w:color="auto" w:fill="FFFFFF" w:themeFill="background1"/>
          </w:tcPr>
          <w:p w:rsidR="00784943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737" w:type="dxa"/>
            <w:shd w:val="clear" w:color="auto" w:fill="FFFFFF" w:themeFill="background1"/>
          </w:tcPr>
          <w:p w:rsidR="00784943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6%</w:t>
            </w:r>
          </w:p>
        </w:tc>
        <w:tc>
          <w:tcPr>
            <w:tcW w:w="737" w:type="dxa"/>
            <w:shd w:val="clear" w:color="auto" w:fill="FFFFFF" w:themeFill="background1"/>
          </w:tcPr>
          <w:p w:rsidR="00784943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37" w:type="dxa"/>
            <w:shd w:val="clear" w:color="auto" w:fill="FFFFFF" w:themeFill="background1"/>
          </w:tcPr>
          <w:p w:rsidR="00784943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737" w:type="dxa"/>
            <w:shd w:val="clear" w:color="auto" w:fill="FFFFFF" w:themeFill="background1"/>
          </w:tcPr>
          <w:p w:rsidR="00784943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737" w:type="dxa"/>
            <w:shd w:val="clear" w:color="auto" w:fill="FFFFFF" w:themeFill="background1"/>
          </w:tcPr>
          <w:p w:rsidR="00784943" w:rsidRPr="00680573" w:rsidRDefault="00A6172E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6%</w:t>
            </w:r>
          </w:p>
        </w:tc>
        <w:tc>
          <w:tcPr>
            <w:tcW w:w="737" w:type="dxa"/>
            <w:shd w:val="clear" w:color="auto" w:fill="FFFFFF" w:themeFill="background1"/>
          </w:tcPr>
          <w:p w:rsidR="00784943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37" w:type="dxa"/>
            <w:shd w:val="clear" w:color="auto" w:fill="FFFFFF" w:themeFill="background1"/>
          </w:tcPr>
          <w:p w:rsidR="00784943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7%</w:t>
            </w:r>
          </w:p>
        </w:tc>
        <w:tc>
          <w:tcPr>
            <w:tcW w:w="737" w:type="dxa"/>
            <w:shd w:val="clear" w:color="auto" w:fill="FFFFFF" w:themeFill="background1"/>
          </w:tcPr>
          <w:p w:rsidR="00784943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738" w:type="dxa"/>
            <w:shd w:val="clear" w:color="auto" w:fill="FFFFFF" w:themeFill="background1"/>
          </w:tcPr>
          <w:p w:rsidR="00784943" w:rsidRPr="00680573" w:rsidRDefault="003B711A" w:rsidP="00411EF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5%</w:t>
            </w:r>
          </w:p>
        </w:tc>
      </w:tr>
    </w:tbl>
    <w:p w:rsidR="004F5027" w:rsidRPr="004F5027" w:rsidRDefault="004F5027" w:rsidP="00AF610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3448" w:rsidRPr="00341CE1" w:rsidRDefault="00CB6FCA" w:rsidP="00341CE1">
      <w:pPr>
        <w:spacing w:line="240" w:lineRule="auto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</w:pPr>
      <w:r w:rsidRPr="00341CE1">
        <w:rPr>
          <w:rFonts w:ascii="Times New Roman" w:hAnsi="Times New Roman"/>
          <w:b/>
          <w:sz w:val="24"/>
          <w:szCs w:val="24"/>
        </w:rPr>
        <w:lastRenderedPageBreak/>
        <w:t>BEZROBOTNI WEDŁUG CZASU POZOSTAWANIA BEZ PRACY, WIEKU, POZIOMU WYKSZTAŁCENIA I STAŻU PRACY</w:t>
      </w:r>
    </w:p>
    <w:p w:rsidR="005E5C3D" w:rsidRDefault="005E5C3D" w:rsidP="00C5443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871361" cy="2647784"/>
            <wp:effectExtent l="19050" t="0" r="24489" b="166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F3ED6" w:rsidRDefault="007F3ED6" w:rsidP="00341CE1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D374D4">
        <w:rPr>
          <w:rFonts w:ascii="Times New Roman" w:hAnsi="Times New Roman"/>
          <w:noProof/>
          <w:color w:val="FF0000"/>
          <w:sz w:val="24"/>
          <w:szCs w:val="24"/>
          <w:lang w:eastAsia="pl-PL"/>
        </w:rPr>
        <w:drawing>
          <wp:inline distT="0" distB="0" distL="0" distR="0">
            <wp:extent cx="4853554" cy="2488759"/>
            <wp:effectExtent l="19050" t="0" r="23246" b="6791"/>
            <wp:docPr id="10" name="Wykres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21D1" w:rsidRDefault="002A21D1" w:rsidP="00C54432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2A21D1">
        <w:rPr>
          <w:rFonts w:ascii="Times New Roman" w:hAnsi="Times New Roman"/>
          <w:noProof/>
          <w:color w:val="FF0000"/>
          <w:sz w:val="24"/>
          <w:szCs w:val="24"/>
          <w:lang w:eastAsia="pl-PL"/>
        </w:rPr>
        <w:drawing>
          <wp:inline distT="0" distB="0" distL="0" distR="0">
            <wp:extent cx="4924783" cy="2695492"/>
            <wp:effectExtent l="19050" t="0" r="28217" b="0"/>
            <wp:docPr id="19" name="Wykres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83E84" w:rsidRDefault="00383E84" w:rsidP="006F11B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83E84">
        <w:rPr>
          <w:rFonts w:ascii="Times New Roman" w:hAnsi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813797" cy="2608028"/>
            <wp:effectExtent l="19050" t="0" r="24903" b="1822"/>
            <wp:docPr id="21" name="Wykres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33448" w:rsidRPr="00341CE1" w:rsidRDefault="00E658F4" w:rsidP="00341CE1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41CE1">
        <w:rPr>
          <w:rFonts w:ascii="Times New Roman" w:hAnsi="Times New Roman"/>
          <w:b/>
          <w:bCs/>
          <w:sz w:val="24"/>
          <w:szCs w:val="24"/>
        </w:rPr>
        <w:t>INSTRUMENTY PRZECIWDZIAŁANIA BEZROBOCIU</w:t>
      </w:r>
    </w:p>
    <w:p w:rsidR="0016521D" w:rsidRPr="008B4E31" w:rsidRDefault="0016521D" w:rsidP="008B4E31">
      <w:pPr>
        <w:jc w:val="both"/>
        <w:rPr>
          <w:rFonts w:ascii="Times New Roman" w:hAnsi="Times New Roman"/>
        </w:rPr>
      </w:pPr>
      <w:r w:rsidRPr="008B4E31">
        <w:rPr>
          <w:rFonts w:ascii="Times New Roman" w:hAnsi="Times New Roman"/>
        </w:rPr>
        <w:t xml:space="preserve">Aktywnymi formami pomocy w powiecie chodzieskim </w:t>
      </w:r>
      <w:r w:rsidR="006F11BD" w:rsidRPr="008B4E31">
        <w:rPr>
          <w:rFonts w:ascii="Times New Roman" w:hAnsi="Times New Roman"/>
        </w:rPr>
        <w:t xml:space="preserve">na przełomie lat 2020/2024 </w:t>
      </w:r>
      <w:r w:rsidRPr="008B4E31">
        <w:rPr>
          <w:rFonts w:ascii="Times New Roman" w:hAnsi="Times New Roman"/>
        </w:rPr>
        <w:t xml:space="preserve">objęto </w:t>
      </w:r>
      <w:r w:rsidR="006C35A3" w:rsidRPr="008B4E31">
        <w:rPr>
          <w:rFonts w:ascii="Times New Roman" w:hAnsi="Times New Roman"/>
        </w:rPr>
        <w:t xml:space="preserve">łącznie </w:t>
      </w:r>
      <w:r w:rsidR="00C344EB" w:rsidRPr="008B4E31">
        <w:rPr>
          <w:rFonts w:ascii="Times New Roman" w:hAnsi="Times New Roman"/>
          <w:b/>
        </w:rPr>
        <w:t>2817</w:t>
      </w:r>
      <w:r w:rsidRPr="008B4E31">
        <w:rPr>
          <w:rFonts w:ascii="Times New Roman" w:hAnsi="Times New Roman"/>
        </w:rPr>
        <w:t xml:space="preserve"> </w:t>
      </w:r>
      <w:r w:rsidRPr="008B4E31">
        <w:rPr>
          <w:rFonts w:ascii="Times New Roman" w:hAnsi="Times New Roman"/>
          <w:b/>
        </w:rPr>
        <w:t>os</w:t>
      </w:r>
      <w:r w:rsidR="00E16689" w:rsidRPr="008B4E31">
        <w:rPr>
          <w:rFonts w:ascii="Times New Roman" w:hAnsi="Times New Roman"/>
          <w:b/>
        </w:rPr>
        <w:t>ó</w:t>
      </w:r>
      <w:r w:rsidRPr="008B4E31">
        <w:rPr>
          <w:rFonts w:ascii="Times New Roman" w:hAnsi="Times New Roman"/>
          <w:b/>
        </w:rPr>
        <w:t>b</w:t>
      </w:r>
      <w:r w:rsidRPr="008B4E31">
        <w:rPr>
          <w:rFonts w:ascii="Times New Roman" w:hAnsi="Times New Roman"/>
        </w:rPr>
        <w:t xml:space="preserve"> bezrobotn</w:t>
      </w:r>
      <w:r w:rsidR="00E16689" w:rsidRPr="008B4E31">
        <w:rPr>
          <w:rFonts w:ascii="Times New Roman" w:hAnsi="Times New Roman"/>
        </w:rPr>
        <w:t>ych</w:t>
      </w:r>
      <w:r w:rsidRPr="008B4E31">
        <w:rPr>
          <w:rFonts w:ascii="Times New Roman" w:hAnsi="Times New Roman"/>
        </w:rPr>
        <w:t xml:space="preserve">, </w:t>
      </w:r>
      <w:r w:rsidR="004A0A08" w:rsidRPr="008B4E31">
        <w:rPr>
          <w:rFonts w:ascii="Times New Roman" w:hAnsi="Times New Roman"/>
        </w:rPr>
        <w:t>gdzie</w:t>
      </w:r>
      <w:r w:rsidRPr="008B4E31">
        <w:rPr>
          <w:rFonts w:ascii="Times New Roman" w:hAnsi="Times New Roman"/>
        </w:rPr>
        <w:t xml:space="preserve"> największą grupę stanowiły osoby skierowane na staż (</w:t>
      </w:r>
      <w:r w:rsidR="00C344EB" w:rsidRPr="008B4E31">
        <w:rPr>
          <w:rFonts w:ascii="Times New Roman" w:hAnsi="Times New Roman"/>
        </w:rPr>
        <w:t>1050</w:t>
      </w:r>
      <w:r w:rsidRPr="008B4E31">
        <w:rPr>
          <w:rFonts w:ascii="Times New Roman" w:hAnsi="Times New Roman"/>
        </w:rPr>
        <w:t>)</w:t>
      </w:r>
      <w:r w:rsidR="004A0A08" w:rsidRPr="008B4E31">
        <w:rPr>
          <w:rFonts w:ascii="Times New Roman" w:hAnsi="Times New Roman"/>
        </w:rPr>
        <w:t xml:space="preserve"> oraz </w:t>
      </w:r>
      <w:r w:rsidR="004A0A08" w:rsidRPr="008B4E31">
        <w:rPr>
          <w:rFonts w:ascii="Times New Roman" w:hAnsi="Times New Roman"/>
          <w:b/>
        </w:rPr>
        <w:t>416</w:t>
      </w:r>
      <w:r w:rsidR="004A0A08" w:rsidRPr="008B4E31">
        <w:rPr>
          <w:rFonts w:ascii="Times New Roman" w:hAnsi="Times New Roman"/>
        </w:rPr>
        <w:t xml:space="preserve"> osób pracujących, w ramach Krajowego Funduszu Szkoleniowego.</w:t>
      </w:r>
    </w:p>
    <w:tbl>
      <w:tblPr>
        <w:tblStyle w:val="Tabela-Siatka"/>
        <w:tblW w:w="0" w:type="auto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12" w:space="0" w:color="76923C" w:themeColor="accent3" w:themeShade="BF"/>
          <w:insideV w:val="single" w:sz="12" w:space="0" w:color="76923C" w:themeColor="accent3" w:themeShade="BF"/>
        </w:tblBorders>
        <w:tblLook w:val="04A0"/>
      </w:tblPr>
      <w:tblGrid>
        <w:gridCol w:w="2612"/>
        <w:gridCol w:w="1334"/>
        <w:gridCol w:w="1335"/>
        <w:gridCol w:w="1335"/>
        <w:gridCol w:w="1336"/>
        <w:gridCol w:w="1336"/>
      </w:tblGrid>
      <w:tr w:rsidR="003A3A7F" w:rsidTr="006C35A3">
        <w:tc>
          <w:tcPr>
            <w:tcW w:w="2612" w:type="dxa"/>
            <w:vMerge w:val="restart"/>
            <w:shd w:val="clear" w:color="auto" w:fill="C2D69B" w:themeFill="accent3" w:themeFillTint="99"/>
            <w:vAlign w:val="center"/>
          </w:tcPr>
          <w:p w:rsidR="003A3A7F" w:rsidRPr="006C35A3" w:rsidRDefault="003A3A7F" w:rsidP="00F420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5A3">
              <w:rPr>
                <w:rFonts w:ascii="Times New Roman" w:hAnsi="Times New Roman"/>
                <w:b/>
                <w:sz w:val="24"/>
                <w:szCs w:val="24"/>
              </w:rPr>
              <w:t>Forma pomocy</w:t>
            </w:r>
          </w:p>
        </w:tc>
        <w:tc>
          <w:tcPr>
            <w:tcW w:w="1334" w:type="dxa"/>
            <w:shd w:val="clear" w:color="auto" w:fill="C2D69B" w:themeFill="accent3" w:themeFillTint="99"/>
            <w:vAlign w:val="center"/>
          </w:tcPr>
          <w:p w:rsidR="003A3A7F" w:rsidRPr="00F420E7" w:rsidRDefault="003A3A7F" w:rsidP="00F420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7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335" w:type="dxa"/>
            <w:shd w:val="clear" w:color="auto" w:fill="C2D69B" w:themeFill="accent3" w:themeFillTint="99"/>
            <w:vAlign w:val="center"/>
          </w:tcPr>
          <w:p w:rsidR="003A3A7F" w:rsidRPr="00F420E7" w:rsidRDefault="003A3A7F" w:rsidP="00F420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7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335" w:type="dxa"/>
            <w:shd w:val="clear" w:color="auto" w:fill="C2D69B" w:themeFill="accent3" w:themeFillTint="99"/>
            <w:vAlign w:val="center"/>
          </w:tcPr>
          <w:p w:rsidR="003A3A7F" w:rsidRPr="00F420E7" w:rsidRDefault="003A3A7F" w:rsidP="00F420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7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336" w:type="dxa"/>
            <w:shd w:val="clear" w:color="auto" w:fill="C2D69B" w:themeFill="accent3" w:themeFillTint="99"/>
            <w:vAlign w:val="center"/>
          </w:tcPr>
          <w:p w:rsidR="003A3A7F" w:rsidRPr="00F420E7" w:rsidRDefault="003A3A7F" w:rsidP="00F420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7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336" w:type="dxa"/>
            <w:shd w:val="clear" w:color="auto" w:fill="C2D69B" w:themeFill="accent3" w:themeFillTint="99"/>
            <w:vAlign w:val="center"/>
          </w:tcPr>
          <w:p w:rsidR="003A3A7F" w:rsidRPr="00F420E7" w:rsidRDefault="003A3A7F" w:rsidP="00F420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7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</w:tr>
      <w:tr w:rsidR="003A3A7F" w:rsidTr="006C35A3">
        <w:tc>
          <w:tcPr>
            <w:tcW w:w="2612" w:type="dxa"/>
            <w:vMerge/>
            <w:shd w:val="clear" w:color="auto" w:fill="C2D69B" w:themeFill="accent3" w:themeFillTint="99"/>
            <w:vAlign w:val="center"/>
          </w:tcPr>
          <w:p w:rsidR="003A3A7F" w:rsidRPr="006C35A3" w:rsidRDefault="003A3A7F" w:rsidP="00F420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  <w:vAlign w:val="center"/>
          </w:tcPr>
          <w:p w:rsidR="003A3A7F" w:rsidRPr="003A3A7F" w:rsidRDefault="003A3A7F" w:rsidP="003A3A7F">
            <w:pPr>
              <w:jc w:val="center"/>
              <w:rPr>
                <w:rFonts w:ascii="Times New Roman" w:hAnsi="Times New Roman"/>
              </w:rPr>
            </w:pPr>
            <w:r w:rsidRPr="003A3A7F">
              <w:rPr>
                <w:rFonts w:ascii="Times New Roman" w:hAnsi="Times New Roman"/>
              </w:rPr>
              <w:t>ilość osób</w:t>
            </w:r>
          </w:p>
        </w:tc>
        <w:tc>
          <w:tcPr>
            <w:tcW w:w="1335" w:type="dxa"/>
            <w:shd w:val="clear" w:color="auto" w:fill="C2D69B" w:themeFill="accent3" w:themeFillTint="99"/>
            <w:vAlign w:val="center"/>
          </w:tcPr>
          <w:p w:rsidR="003A3A7F" w:rsidRPr="00F420E7" w:rsidRDefault="003A3A7F" w:rsidP="00F420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A7F">
              <w:rPr>
                <w:rFonts w:ascii="Times New Roman" w:hAnsi="Times New Roman"/>
              </w:rPr>
              <w:t>ilość osób</w:t>
            </w:r>
          </w:p>
        </w:tc>
        <w:tc>
          <w:tcPr>
            <w:tcW w:w="1335" w:type="dxa"/>
            <w:shd w:val="clear" w:color="auto" w:fill="C2D69B" w:themeFill="accent3" w:themeFillTint="99"/>
            <w:vAlign w:val="center"/>
          </w:tcPr>
          <w:p w:rsidR="003A3A7F" w:rsidRPr="00F420E7" w:rsidRDefault="003A3A7F" w:rsidP="00F420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A7F">
              <w:rPr>
                <w:rFonts w:ascii="Times New Roman" w:hAnsi="Times New Roman"/>
              </w:rPr>
              <w:t>ilość osób</w:t>
            </w:r>
          </w:p>
        </w:tc>
        <w:tc>
          <w:tcPr>
            <w:tcW w:w="1336" w:type="dxa"/>
            <w:shd w:val="clear" w:color="auto" w:fill="C2D69B" w:themeFill="accent3" w:themeFillTint="99"/>
            <w:vAlign w:val="center"/>
          </w:tcPr>
          <w:p w:rsidR="003A3A7F" w:rsidRPr="00F420E7" w:rsidRDefault="003A3A7F" w:rsidP="00F420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A7F">
              <w:rPr>
                <w:rFonts w:ascii="Times New Roman" w:hAnsi="Times New Roman"/>
              </w:rPr>
              <w:t>ilość osób</w:t>
            </w:r>
          </w:p>
        </w:tc>
        <w:tc>
          <w:tcPr>
            <w:tcW w:w="1336" w:type="dxa"/>
            <w:shd w:val="clear" w:color="auto" w:fill="C2D69B" w:themeFill="accent3" w:themeFillTint="99"/>
            <w:vAlign w:val="center"/>
          </w:tcPr>
          <w:p w:rsidR="003A3A7F" w:rsidRPr="00F420E7" w:rsidRDefault="003A3A7F" w:rsidP="00F420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A7F">
              <w:rPr>
                <w:rFonts w:ascii="Times New Roman" w:hAnsi="Times New Roman"/>
              </w:rPr>
              <w:t>ilość osób</w:t>
            </w:r>
          </w:p>
        </w:tc>
      </w:tr>
      <w:tr w:rsidR="006C35A3" w:rsidTr="006C35A3">
        <w:tc>
          <w:tcPr>
            <w:tcW w:w="2612" w:type="dxa"/>
            <w:shd w:val="clear" w:color="auto" w:fill="FFFFFF" w:themeFill="background1"/>
            <w:vAlign w:val="center"/>
          </w:tcPr>
          <w:p w:rsidR="006F11BD" w:rsidRPr="006C35A3" w:rsidRDefault="00BF75A3" w:rsidP="00BF75A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="00F420E7" w:rsidRPr="006C35A3">
              <w:rPr>
                <w:rFonts w:ascii="Times New Roman" w:hAnsi="Times New Roman"/>
                <w:b/>
              </w:rPr>
              <w:t>taż</w:t>
            </w:r>
          </w:p>
        </w:tc>
        <w:tc>
          <w:tcPr>
            <w:tcW w:w="1334" w:type="dxa"/>
            <w:vAlign w:val="center"/>
          </w:tcPr>
          <w:p w:rsidR="006F11BD" w:rsidRDefault="006C35A3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335" w:type="dxa"/>
            <w:vAlign w:val="center"/>
          </w:tcPr>
          <w:p w:rsidR="006F11BD" w:rsidRDefault="006C35A3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335" w:type="dxa"/>
            <w:vAlign w:val="center"/>
          </w:tcPr>
          <w:p w:rsidR="006F11BD" w:rsidRDefault="006C35A3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336" w:type="dxa"/>
            <w:vAlign w:val="center"/>
          </w:tcPr>
          <w:p w:rsidR="006F11BD" w:rsidRDefault="006C35A3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336" w:type="dxa"/>
            <w:vAlign w:val="center"/>
          </w:tcPr>
          <w:p w:rsidR="006F11BD" w:rsidRDefault="006C35A3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6C35A3" w:rsidTr="006C35A3">
        <w:tc>
          <w:tcPr>
            <w:tcW w:w="2612" w:type="dxa"/>
            <w:shd w:val="clear" w:color="auto" w:fill="FFFFFF" w:themeFill="background1"/>
            <w:vAlign w:val="center"/>
          </w:tcPr>
          <w:p w:rsidR="006F11BD" w:rsidRPr="006C35A3" w:rsidRDefault="00BF75A3" w:rsidP="00BF75A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="00F420E7" w:rsidRPr="006C35A3">
              <w:rPr>
                <w:rFonts w:ascii="Times New Roman" w:hAnsi="Times New Roman"/>
                <w:b/>
              </w:rPr>
              <w:t>zkolenie</w:t>
            </w:r>
          </w:p>
        </w:tc>
        <w:tc>
          <w:tcPr>
            <w:tcW w:w="1334" w:type="dxa"/>
            <w:vAlign w:val="center"/>
          </w:tcPr>
          <w:p w:rsidR="006F11BD" w:rsidRDefault="003A3A7F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35" w:type="dxa"/>
            <w:vAlign w:val="center"/>
          </w:tcPr>
          <w:p w:rsidR="006F11BD" w:rsidRDefault="003A3A7F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335" w:type="dxa"/>
            <w:vAlign w:val="center"/>
          </w:tcPr>
          <w:p w:rsidR="006F11BD" w:rsidRDefault="003A3A7F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336" w:type="dxa"/>
            <w:vAlign w:val="center"/>
          </w:tcPr>
          <w:p w:rsidR="006F11BD" w:rsidRDefault="003A3A7F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36" w:type="dxa"/>
            <w:vAlign w:val="center"/>
          </w:tcPr>
          <w:p w:rsidR="006F11BD" w:rsidRDefault="003A3A7F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6C35A3" w:rsidTr="006C35A3">
        <w:tc>
          <w:tcPr>
            <w:tcW w:w="2612" w:type="dxa"/>
            <w:shd w:val="clear" w:color="auto" w:fill="FFFFFF" w:themeFill="background1"/>
            <w:vAlign w:val="center"/>
          </w:tcPr>
          <w:p w:rsidR="006F11BD" w:rsidRPr="006C35A3" w:rsidRDefault="00F420E7" w:rsidP="00F420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C35A3">
              <w:rPr>
                <w:rFonts w:ascii="Times New Roman" w:hAnsi="Times New Roman"/>
                <w:b/>
              </w:rPr>
              <w:t>Prace interwencyjne</w:t>
            </w:r>
          </w:p>
        </w:tc>
        <w:tc>
          <w:tcPr>
            <w:tcW w:w="1334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335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335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36" w:type="dxa"/>
            <w:vAlign w:val="center"/>
          </w:tcPr>
          <w:p w:rsidR="006F11BD" w:rsidRDefault="00AE208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36" w:type="dxa"/>
            <w:vAlign w:val="center"/>
          </w:tcPr>
          <w:p w:rsidR="006F11BD" w:rsidRDefault="00AE208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6C35A3" w:rsidTr="006C35A3">
        <w:tc>
          <w:tcPr>
            <w:tcW w:w="2612" w:type="dxa"/>
            <w:shd w:val="clear" w:color="auto" w:fill="FFFFFF" w:themeFill="background1"/>
            <w:vAlign w:val="center"/>
          </w:tcPr>
          <w:p w:rsidR="006F11BD" w:rsidRPr="006C35A3" w:rsidRDefault="00F420E7" w:rsidP="00F420E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C35A3">
              <w:rPr>
                <w:rFonts w:ascii="Times New Roman" w:hAnsi="Times New Roman"/>
                <w:b/>
              </w:rPr>
              <w:t>Roboty publiczne</w:t>
            </w:r>
          </w:p>
        </w:tc>
        <w:tc>
          <w:tcPr>
            <w:tcW w:w="1334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35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35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36" w:type="dxa"/>
            <w:vAlign w:val="center"/>
          </w:tcPr>
          <w:p w:rsidR="006F11BD" w:rsidRDefault="00AE208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36" w:type="dxa"/>
            <w:vAlign w:val="center"/>
          </w:tcPr>
          <w:p w:rsidR="006F11BD" w:rsidRDefault="00AE208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6C35A3" w:rsidTr="006C35A3">
        <w:tc>
          <w:tcPr>
            <w:tcW w:w="2612" w:type="dxa"/>
            <w:shd w:val="clear" w:color="auto" w:fill="FFFFFF" w:themeFill="background1"/>
            <w:vAlign w:val="center"/>
          </w:tcPr>
          <w:p w:rsidR="006F11BD" w:rsidRPr="006C35A3" w:rsidRDefault="00F420E7" w:rsidP="006C35A3">
            <w:pPr>
              <w:jc w:val="center"/>
              <w:rPr>
                <w:rFonts w:ascii="Times New Roman" w:hAnsi="Times New Roman"/>
                <w:b/>
              </w:rPr>
            </w:pPr>
            <w:r w:rsidRPr="006C35A3">
              <w:rPr>
                <w:rFonts w:ascii="Times New Roman" w:hAnsi="Times New Roman"/>
                <w:b/>
              </w:rPr>
              <w:t>Dofinansowanie na rozpoczęcie działalności gospodarczej</w:t>
            </w:r>
          </w:p>
        </w:tc>
        <w:tc>
          <w:tcPr>
            <w:tcW w:w="1334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35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35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36" w:type="dxa"/>
            <w:vAlign w:val="center"/>
          </w:tcPr>
          <w:p w:rsidR="006F11BD" w:rsidRDefault="00AE208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36" w:type="dxa"/>
            <w:vAlign w:val="center"/>
          </w:tcPr>
          <w:p w:rsidR="006F11BD" w:rsidRDefault="00AE208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6C35A3" w:rsidTr="006C35A3">
        <w:tc>
          <w:tcPr>
            <w:tcW w:w="2612" w:type="dxa"/>
            <w:shd w:val="clear" w:color="auto" w:fill="FFFFFF" w:themeFill="background1"/>
            <w:vAlign w:val="center"/>
          </w:tcPr>
          <w:p w:rsidR="006F11BD" w:rsidRPr="006C35A3" w:rsidRDefault="00F420E7" w:rsidP="006C35A3">
            <w:pPr>
              <w:jc w:val="center"/>
              <w:rPr>
                <w:rFonts w:ascii="Times New Roman" w:hAnsi="Times New Roman"/>
                <w:b/>
              </w:rPr>
            </w:pPr>
            <w:r w:rsidRPr="006C35A3">
              <w:rPr>
                <w:rFonts w:ascii="Times New Roman" w:hAnsi="Times New Roman"/>
                <w:b/>
              </w:rPr>
              <w:t>Refundacja kosztów wyposażenia/doposażenia stanowiska pracy</w:t>
            </w:r>
          </w:p>
        </w:tc>
        <w:tc>
          <w:tcPr>
            <w:tcW w:w="1334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35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6" w:type="dxa"/>
            <w:vAlign w:val="center"/>
          </w:tcPr>
          <w:p w:rsidR="006F11BD" w:rsidRDefault="00AE208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6" w:type="dxa"/>
            <w:vAlign w:val="center"/>
          </w:tcPr>
          <w:p w:rsidR="006F11BD" w:rsidRDefault="00AE208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C35A3" w:rsidTr="006C35A3">
        <w:tc>
          <w:tcPr>
            <w:tcW w:w="2612" w:type="dxa"/>
            <w:shd w:val="clear" w:color="auto" w:fill="FFFFFF" w:themeFill="background1"/>
            <w:vAlign w:val="center"/>
          </w:tcPr>
          <w:p w:rsidR="006F11BD" w:rsidRPr="006C35A3" w:rsidRDefault="00F420E7" w:rsidP="006C35A3">
            <w:pPr>
              <w:jc w:val="center"/>
              <w:rPr>
                <w:rFonts w:ascii="Times New Roman" w:hAnsi="Times New Roman"/>
                <w:b/>
              </w:rPr>
            </w:pPr>
            <w:r w:rsidRPr="006C35A3">
              <w:rPr>
                <w:rFonts w:ascii="Times New Roman" w:hAnsi="Times New Roman"/>
                <w:b/>
              </w:rPr>
              <w:t>Dofinansowanie wynagrodzenia za zatrudnienie bezrobotnego 50 +</w:t>
            </w:r>
          </w:p>
        </w:tc>
        <w:tc>
          <w:tcPr>
            <w:tcW w:w="1334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6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Align w:val="center"/>
          </w:tcPr>
          <w:p w:rsidR="006F11BD" w:rsidRDefault="0031517C" w:rsidP="00F420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20E7" w:rsidTr="006C35A3">
        <w:tc>
          <w:tcPr>
            <w:tcW w:w="2612" w:type="dxa"/>
            <w:shd w:val="clear" w:color="auto" w:fill="FFFFFF" w:themeFill="background1"/>
            <w:vAlign w:val="center"/>
          </w:tcPr>
          <w:p w:rsidR="00F420E7" w:rsidRPr="006C35A3" w:rsidRDefault="00F420E7" w:rsidP="00F420E7">
            <w:pPr>
              <w:jc w:val="center"/>
              <w:rPr>
                <w:rFonts w:ascii="Times New Roman" w:hAnsi="Times New Roman"/>
                <w:b/>
              </w:rPr>
            </w:pPr>
            <w:r w:rsidRPr="006C35A3">
              <w:rPr>
                <w:rFonts w:ascii="Times New Roman" w:hAnsi="Times New Roman"/>
                <w:b/>
              </w:rPr>
              <w:t>Bon na zasiedlenie</w:t>
            </w:r>
          </w:p>
        </w:tc>
        <w:tc>
          <w:tcPr>
            <w:tcW w:w="1334" w:type="dxa"/>
            <w:vAlign w:val="center"/>
          </w:tcPr>
          <w:p w:rsidR="00F420E7" w:rsidRDefault="006C35A3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vAlign w:val="center"/>
          </w:tcPr>
          <w:p w:rsidR="00F420E7" w:rsidRDefault="006C35A3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vAlign w:val="center"/>
          </w:tcPr>
          <w:p w:rsidR="00F420E7" w:rsidRDefault="006C35A3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6" w:type="dxa"/>
            <w:vAlign w:val="center"/>
          </w:tcPr>
          <w:p w:rsidR="00F420E7" w:rsidRDefault="006C35A3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  <w:vAlign w:val="center"/>
          </w:tcPr>
          <w:p w:rsidR="00F420E7" w:rsidRDefault="006C35A3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420E7" w:rsidTr="006C35A3">
        <w:tc>
          <w:tcPr>
            <w:tcW w:w="2612" w:type="dxa"/>
            <w:shd w:val="clear" w:color="auto" w:fill="FFFFFF" w:themeFill="background1"/>
            <w:vAlign w:val="center"/>
          </w:tcPr>
          <w:p w:rsidR="00F420E7" w:rsidRPr="006C35A3" w:rsidRDefault="006C35A3" w:rsidP="006C35A3">
            <w:pPr>
              <w:jc w:val="center"/>
              <w:rPr>
                <w:rFonts w:ascii="Times New Roman" w:hAnsi="Times New Roman"/>
                <w:b/>
              </w:rPr>
            </w:pPr>
            <w:r w:rsidRPr="006C35A3">
              <w:rPr>
                <w:rFonts w:ascii="Times New Roman" w:hAnsi="Times New Roman"/>
                <w:b/>
              </w:rPr>
              <w:t>Dofinansowanie s</w:t>
            </w:r>
            <w:r w:rsidR="00F420E7" w:rsidRPr="006C35A3">
              <w:rPr>
                <w:rFonts w:ascii="Times New Roman" w:hAnsi="Times New Roman"/>
                <w:b/>
              </w:rPr>
              <w:t>tudi</w:t>
            </w:r>
            <w:r w:rsidRPr="006C35A3">
              <w:rPr>
                <w:rFonts w:ascii="Times New Roman" w:hAnsi="Times New Roman"/>
                <w:b/>
              </w:rPr>
              <w:t>ów</w:t>
            </w:r>
            <w:r w:rsidR="00F420E7" w:rsidRPr="006C35A3">
              <w:rPr>
                <w:rFonts w:ascii="Times New Roman" w:hAnsi="Times New Roman"/>
                <w:b/>
              </w:rPr>
              <w:t xml:space="preserve"> podyplomow</w:t>
            </w:r>
            <w:r w:rsidRPr="006C35A3">
              <w:rPr>
                <w:rFonts w:ascii="Times New Roman" w:hAnsi="Times New Roman"/>
                <w:b/>
              </w:rPr>
              <w:t>ych</w:t>
            </w:r>
          </w:p>
        </w:tc>
        <w:tc>
          <w:tcPr>
            <w:tcW w:w="1334" w:type="dxa"/>
            <w:vAlign w:val="center"/>
          </w:tcPr>
          <w:p w:rsidR="00F420E7" w:rsidRDefault="00C00CD0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vAlign w:val="center"/>
          </w:tcPr>
          <w:p w:rsidR="00F420E7" w:rsidRDefault="00C00CD0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vAlign w:val="center"/>
          </w:tcPr>
          <w:p w:rsidR="00F420E7" w:rsidRDefault="00C00CD0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  <w:vAlign w:val="center"/>
          </w:tcPr>
          <w:p w:rsidR="00F420E7" w:rsidRDefault="00C00CD0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Align w:val="center"/>
          </w:tcPr>
          <w:p w:rsidR="00F420E7" w:rsidRDefault="003A3A7F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3E40" w:rsidTr="006C35A3">
        <w:tc>
          <w:tcPr>
            <w:tcW w:w="2612" w:type="dxa"/>
            <w:shd w:val="clear" w:color="auto" w:fill="FFFFFF" w:themeFill="background1"/>
            <w:vAlign w:val="center"/>
          </w:tcPr>
          <w:p w:rsidR="00E03E40" w:rsidRDefault="0072325F" w:rsidP="00E03E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="00E03E40">
              <w:rPr>
                <w:rFonts w:ascii="Times New Roman" w:hAnsi="Times New Roman"/>
                <w:b/>
              </w:rPr>
              <w:t>odnoszenie kwalifikacji</w:t>
            </w:r>
            <w:r>
              <w:rPr>
                <w:rFonts w:ascii="Times New Roman" w:hAnsi="Times New Roman"/>
                <w:b/>
              </w:rPr>
              <w:t xml:space="preserve"> w ramach KFS</w:t>
            </w:r>
          </w:p>
          <w:p w:rsidR="0072325F" w:rsidRPr="0072325F" w:rsidRDefault="0072325F" w:rsidP="00E03E4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325F">
              <w:rPr>
                <w:rFonts w:ascii="Times New Roman" w:hAnsi="Times New Roman"/>
                <w:b/>
                <w:sz w:val="16"/>
                <w:szCs w:val="16"/>
              </w:rPr>
              <w:t>(Krajowy Fundusz Szkoleniowy)</w:t>
            </w:r>
          </w:p>
        </w:tc>
        <w:tc>
          <w:tcPr>
            <w:tcW w:w="1334" w:type="dxa"/>
            <w:vAlign w:val="center"/>
          </w:tcPr>
          <w:p w:rsidR="00E03E40" w:rsidRDefault="0072325F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35" w:type="dxa"/>
            <w:vAlign w:val="center"/>
          </w:tcPr>
          <w:p w:rsidR="00E03E40" w:rsidRDefault="0072325F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35" w:type="dxa"/>
            <w:vAlign w:val="center"/>
          </w:tcPr>
          <w:p w:rsidR="00E03E40" w:rsidRDefault="0072325F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36" w:type="dxa"/>
            <w:vAlign w:val="center"/>
          </w:tcPr>
          <w:p w:rsidR="00E03E40" w:rsidRDefault="0072325F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336" w:type="dxa"/>
            <w:vAlign w:val="center"/>
          </w:tcPr>
          <w:p w:rsidR="00E03E40" w:rsidRDefault="0072325F" w:rsidP="00F42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</w:tbl>
    <w:p w:rsidR="00C006BF" w:rsidRDefault="00C006BF" w:rsidP="002350E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F11BD" w:rsidRDefault="006F11BD" w:rsidP="002350E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B4E31" w:rsidRDefault="008B4E31" w:rsidP="002350E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A0A08" w:rsidRDefault="00B47031" w:rsidP="004A0A0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A0A08">
        <w:rPr>
          <w:rFonts w:ascii="Times New Roman" w:hAnsi="Times New Roman"/>
          <w:b/>
          <w:sz w:val="24"/>
          <w:szCs w:val="24"/>
        </w:rPr>
        <w:lastRenderedPageBreak/>
        <w:t>USŁUGI RYNKU PRACY</w:t>
      </w:r>
    </w:p>
    <w:p w:rsidR="00AF0F8E" w:rsidRPr="008B4E31" w:rsidRDefault="004A0A08" w:rsidP="008B4E31">
      <w:pPr>
        <w:jc w:val="both"/>
        <w:rPr>
          <w:rFonts w:ascii="Times New Roman" w:hAnsi="Times New Roman"/>
        </w:rPr>
      </w:pPr>
      <w:r w:rsidRPr="004A0A08">
        <w:rPr>
          <w:rFonts w:ascii="Times New Roman" w:hAnsi="Times New Roman"/>
          <w:b/>
          <w:sz w:val="24"/>
          <w:szCs w:val="24"/>
        </w:rPr>
        <w:t xml:space="preserve">- </w:t>
      </w:r>
      <w:r w:rsidR="00AF0F8E" w:rsidRPr="008B4E31">
        <w:rPr>
          <w:rFonts w:ascii="Times New Roman" w:hAnsi="Times New Roman"/>
          <w:b/>
        </w:rPr>
        <w:t>W ramach pośrednictwa pracy</w:t>
      </w:r>
      <w:r w:rsidR="00AF0F8E" w:rsidRPr="008B4E31">
        <w:rPr>
          <w:rFonts w:ascii="Times New Roman" w:hAnsi="Times New Roman"/>
        </w:rPr>
        <w:t xml:space="preserve"> w latach 2020/2024 pozyskano </w:t>
      </w:r>
      <w:r w:rsidR="00E97035" w:rsidRPr="008B4E31">
        <w:rPr>
          <w:rFonts w:ascii="Times New Roman" w:hAnsi="Times New Roman"/>
        </w:rPr>
        <w:t>łącznie</w:t>
      </w:r>
      <w:r w:rsidR="00AF0F8E" w:rsidRPr="008B4E31">
        <w:rPr>
          <w:rFonts w:ascii="Times New Roman" w:hAnsi="Times New Roman"/>
        </w:rPr>
        <w:t xml:space="preserve"> </w:t>
      </w:r>
      <w:r w:rsidR="00336D37" w:rsidRPr="008B4E31">
        <w:rPr>
          <w:rFonts w:ascii="Times New Roman" w:hAnsi="Times New Roman"/>
        </w:rPr>
        <w:t>4352</w:t>
      </w:r>
      <w:r w:rsidR="00AF0F8E" w:rsidRPr="008B4E31">
        <w:rPr>
          <w:rFonts w:ascii="Times New Roman" w:hAnsi="Times New Roman"/>
        </w:rPr>
        <w:t xml:space="preserve"> miejsc</w:t>
      </w:r>
      <w:r w:rsidR="00336D37" w:rsidRPr="008B4E31">
        <w:rPr>
          <w:rFonts w:ascii="Times New Roman" w:hAnsi="Times New Roman"/>
        </w:rPr>
        <w:t>a</w:t>
      </w:r>
      <w:r w:rsidR="00AF0F8E" w:rsidRPr="008B4E31">
        <w:rPr>
          <w:rFonts w:ascii="Times New Roman" w:hAnsi="Times New Roman"/>
        </w:rPr>
        <w:t xml:space="preserve"> pracy, w tym </w:t>
      </w:r>
      <w:r w:rsidR="00336D37" w:rsidRPr="008B4E31">
        <w:rPr>
          <w:rFonts w:ascii="Times New Roman" w:hAnsi="Times New Roman"/>
        </w:rPr>
        <w:t>2231</w:t>
      </w:r>
      <w:r w:rsidR="00AF0F8E" w:rsidRPr="008B4E31">
        <w:rPr>
          <w:rFonts w:ascii="Times New Roman" w:hAnsi="Times New Roman"/>
          <w:b/>
        </w:rPr>
        <w:t xml:space="preserve"> </w:t>
      </w:r>
      <w:r w:rsidR="00AF0F8E" w:rsidRPr="008B4E31">
        <w:rPr>
          <w:rFonts w:ascii="Times New Roman" w:hAnsi="Times New Roman"/>
        </w:rPr>
        <w:t xml:space="preserve">miejsc pracy dotyczyło pracy subsydiowanej. </w:t>
      </w:r>
    </w:p>
    <w:p w:rsidR="00AF0F8E" w:rsidRPr="004A0A08" w:rsidRDefault="00336D37" w:rsidP="004A0A0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6D37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5729743" cy="2679590"/>
            <wp:effectExtent l="19050" t="0" r="23357" b="6460"/>
            <wp:docPr id="1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82BCF" w:rsidRPr="00E97035" w:rsidRDefault="00516F00" w:rsidP="008B4E31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E97035">
        <w:rPr>
          <w:rFonts w:ascii="Times New Roman" w:hAnsi="Times New Roman"/>
          <w:b/>
          <w:i/>
        </w:rPr>
        <w:t>M</w:t>
      </w:r>
      <w:r w:rsidR="00182BCF" w:rsidRPr="00E97035">
        <w:rPr>
          <w:rFonts w:ascii="Times New Roman" w:hAnsi="Times New Roman"/>
          <w:b/>
          <w:i/>
        </w:rPr>
        <w:t>iejsc</w:t>
      </w:r>
      <w:r w:rsidR="004A0A08" w:rsidRPr="00E97035">
        <w:rPr>
          <w:rFonts w:ascii="Times New Roman" w:hAnsi="Times New Roman"/>
          <w:b/>
          <w:i/>
        </w:rPr>
        <w:t>a</w:t>
      </w:r>
      <w:r w:rsidR="00182BCF" w:rsidRPr="00E97035">
        <w:rPr>
          <w:rFonts w:ascii="Times New Roman" w:hAnsi="Times New Roman"/>
          <w:b/>
          <w:i/>
        </w:rPr>
        <w:t xml:space="preserve"> pracy </w:t>
      </w:r>
      <w:r w:rsidRPr="00E97035">
        <w:rPr>
          <w:rFonts w:ascii="Times New Roman" w:hAnsi="Times New Roman"/>
          <w:b/>
          <w:i/>
        </w:rPr>
        <w:t xml:space="preserve">zgłoszone </w:t>
      </w:r>
      <w:r w:rsidR="00182BCF" w:rsidRPr="00E97035">
        <w:rPr>
          <w:rFonts w:ascii="Times New Roman" w:hAnsi="Times New Roman"/>
          <w:b/>
          <w:i/>
        </w:rPr>
        <w:t>do Powiatowego Urzędu Pracy w Chodzieży w latach 2020/202</w:t>
      </w:r>
      <w:r w:rsidR="004A0A08" w:rsidRPr="00E97035">
        <w:rPr>
          <w:rFonts w:ascii="Times New Roman" w:hAnsi="Times New Roman"/>
          <w:b/>
          <w:i/>
        </w:rPr>
        <w:t>4</w:t>
      </w:r>
      <w:r w:rsidR="00AF0F8E" w:rsidRPr="00E97035">
        <w:rPr>
          <w:rFonts w:ascii="Times New Roman" w:hAnsi="Times New Roman"/>
          <w:b/>
          <w:i/>
        </w:rPr>
        <w:t xml:space="preserve"> z podziałem na kolejne miesiące</w:t>
      </w:r>
      <w:r w:rsidR="00182BCF" w:rsidRPr="00E97035">
        <w:rPr>
          <w:rFonts w:ascii="Times New Roman" w:hAnsi="Times New Roman"/>
          <w:b/>
          <w:i/>
        </w:rPr>
        <w:t>:</w:t>
      </w:r>
    </w:p>
    <w:p w:rsidR="00182BCF" w:rsidRDefault="00182BCF" w:rsidP="00E970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2BCF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3173912"/>
            <wp:effectExtent l="19050" t="0" r="11430" b="7438"/>
            <wp:docPr id="3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87E9C" w:rsidRDefault="002A1B6C" w:rsidP="00C54062">
      <w:pPr>
        <w:spacing w:before="240"/>
        <w:jc w:val="both"/>
        <w:rPr>
          <w:rFonts w:ascii="Times New Roman" w:hAnsi="Times New Roman"/>
          <w:bCs/>
        </w:rPr>
      </w:pPr>
      <w:r w:rsidRPr="008B4E31">
        <w:rPr>
          <w:rFonts w:ascii="Times New Roman" w:hAnsi="Times New Roman"/>
          <w:b/>
          <w:bCs/>
        </w:rPr>
        <w:t>- w ramach poradnictwa zawodowego</w:t>
      </w:r>
      <w:r w:rsidR="00B72371" w:rsidRPr="008B4E31">
        <w:rPr>
          <w:rFonts w:ascii="Times New Roman" w:hAnsi="Times New Roman"/>
          <w:b/>
          <w:bCs/>
        </w:rPr>
        <w:t xml:space="preserve"> świadczon</w:t>
      </w:r>
      <w:r w:rsidR="00071D82" w:rsidRPr="008B4E31">
        <w:rPr>
          <w:rFonts w:ascii="Times New Roman" w:hAnsi="Times New Roman"/>
          <w:b/>
          <w:bCs/>
        </w:rPr>
        <w:t>a jest</w:t>
      </w:r>
      <w:r w:rsidR="00B72371" w:rsidRPr="008B4E31">
        <w:rPr>
          <w:rFonts w:ascii="Times New Roman" w:hAnsi="Times New Roman"/>
          <w:b/>
          <w:bCs/>
        </w:rPr>
        <w:t xml:space="preserve"> pomoc </w:t>
      </w:r>
      <w:r w:rsidR="00A87E9C" w:rsidRPr="008B4E31">
        <w:rPr>
          <w:rFonts w:ascii="Times New Roman" w:hAnsi="Times New Roman"/>
          <w:bCs/>
        </w:rPr>
        <w:t>w formie indywidualnej i grupowej</w:t>
      </w:r>
      <w:r w:rsidR="002703CB" w:rsidRPr="008B4E31">
        <w:rPr>
          <w:rFonts w:ascii="Times New Roman" w:hAnsi="Times New Roman"/>
          <w:bCs/>
        </w:rPr>
        <w:t>, w postaci porad i warsztatów</w:t>
      </w:r>
      <w:r w:rsidR="00A87E9C" w:rsidRPr="008B4E31">
        <w:rPr>
          <w:rFonts w:ascii="Times New Roman" w:hAnsi="Times New Roman"/>
          <w:bCs/>
        </w:rPr>
        <w:t xml:space="preserve">. </w:t>
      </w:r>
      <w:r w:rsidR="00071D82" w:rsidRPr="008B4E31">
        <w:rPr>
          <w:rFonts w:ascii="Times New Roman" w:hAnsi="Times New Roman"/>
          <w:bCs/>
        </w:rPr>
        <w:t>Jest to proces, w którym doradca zawodowy pomaga klientowi w osiągnięciu lepszego zrozumienia siebie samego w odniesieniu do środowiska pracy, aby umożliwić realny wybór lub zmianę zatrudnienia albo osiągnięcie właściwego przystosowania zawodowego.</w:t>
      </w:r>
      <w:r w:rsidR="002703CB" w:rsidRPr="008B4E31">
        <w:rPr>
          <w:rFonts w:ascii="Times New Roman" w:hAnsi="Times New Roman"/>
          <w:bCs/>
        </w:rPr>
        <w:t xml:space="preserve"> </w:t>
      </w:r>
      <w:r w:rsidR="00E14439" w:rsidRPr="008B4E31">
        <w:rPr>
          <w:rFonts w:ascii="Times New Roman" w:hAnsi="Times New Roman"/>
          <w:bCs/>
        </w:rPr>
        <w:t xml:space="preserve">Doradca pomaga sporządzić dokumenty aplikacyjne, przygotowuje do rozmowy z potencjalnym pracodawcą, informuje o lokalnym rynku pracy i </w:t>
      </w:r>
      <w:r w:rsidR="00DE327E" w:rsidRPr="008B4E31">
        <w:rPr>
          <w:rFonts w:ascii="Times New Roman" w:hAnsi="Times New Roman"/>
          <w:bCs/>
        </w:rPr>
        <w:t xml:space="preserve">dostępnych formach </w:t>
      </w:r>
      <w:r w:rsidR="00E14439" w:rsidRPr="008B4E31">
        <w:rPr>
          <w:rFonts w:ascii="Times New Roman" w:hAnsi="Times New Roman"/>
          <w:bCs/>
        </w:rPr>
        <w:t>edukacji.</w:t>
      </w:r>
    </w:p>
    <w:p w:rsidR="008B4E31" w:rsidRPr="008B4E31" w:rsidRDefault="008B4E31" w:rsidP="00C54062">
      <w:pPr>
        <w:spacing w:before="240" w:after="0"/>
        <w:jc w:val="both"/>
        <w:rPr>
          <w:rFonts w:ascii="Times New Roman" w:hAnsi="Times New Roman"/>
          <w:bCs/>
        </w:rPr>
      </w:pPr>
    </w:p>
    <w:p w:rsidR="00E14439" w:rsidRDefault="00E14439" w:rsidP="00DE327E">
      <w:pPr>
        <w:pStyle w:val="Akapitzlist"/>
        <w:spacing w:after="0"/>
        <w:ind w:left="0"/>
        <w:jc w:val="both"/>
        <w:rPr>
          <w:rFonts w:ascii="Times New Roman" w:hAnsi="Times New Roman"/>
          <w:b/>
          <w:i/>
        </w:rPr>
      </w:pPr>
      <w:r w:rsidRPr="00E14439">
        <w:rPr>
          <w:rFonts w:ascii="Times New Roman" w:hAnsi="Times New Roman"/>
          <w:b/>
          <w:i/>
        </w:rPr>
        <w:t>Formy świadczone osobom bezrobotnym w ramach poradnictwa zawodowego</w:t>
      </w:r>
      <w:r w:rsidR="00B103FA">
        <w:rPr>
          <w:rFonts w:ascii="Times New Roman" w:hAnsi="Times New Roman"/>
          <w:b/>
          <w:i/>
        </w:rPr>
        <w:t xml:space="preserve"> </w:t>
      </w:r>
      <w:r w:rsidR="00B103FA" w:rsidRPr="00B103FA">
        <w:rPr>
          <w:rFonts w:ascii="Times New Roman" w:hAnsi="Times New Roman"/>
          <w:b/>
          <w:i/>
        </w:rPr>
        <w:t>w latach</w:t>
      </w:r>
      <w:r w:rsidR="00B103FA">
        <w:rPr>
          <w:rFonts w:ascii="Times New Roman" w:hAnsi="Times New Roman"/>
          <w:b/>
          <w:i/>
        </w:rPr>
        <w:t xml:space="preserve"> 2020/2024</w:t>
      </w:r>
      <w:r w:rsidRPr="00E14439">
        <w:rPr>
          <w:rFonts w:ascii="Times New Roman" w:hAnsi="Times New Roman"/>
          <w:b/>
          <w:i/>
        </w:rPr>
        <w:t>:</w:t>
      </w:r>
    </w:p>
    <w:tbl>
      <w:tblPr>
        <w:tblStyle w:val="Tabela-Siatka"/>
        <w:tblW w:w="9072" w:type="dxa"/>
        <w:tblInd w:w="108" w:type="dxa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12" w:space="0" w:color="4F6228" w:themeColor="accent3" w:themeShade="80"/>
          <w:insideV w:val="single" w:sz="12" w:space="0" w:color="4F6228" w:themeColor="accent3" w:themeShade="80"/>
        </w:tblBorders>
        <w:shd w:val="clear" w:color="auto" w:fill="FFFFFF" w:themeFill="background1"/>
        <w:tblLayout w:type="fixed"/>
        <w:tblLook w:val="04A0"/>
      </w:tblPr>
      <w:tblGrid>
        <w:gridCol w:w="1814"/>
        <w:gridCol w:w="1814"/>
        <w:gridCol w:w="1815"/>
        <w:gridCol w:w="1814"/>
        <w:gridCol w:w="1815"/>
      </w:tblGrid>
      <w:tr w:rsidR="0037125E" w:rsidTr="008B4E31">
        <w:trPr>
          <w:trHeight w:val="236"/>
        </w:trPr>
        <w:tc>
          <w:tcPr>
            <w:tcW w:w="1814" w:type="dxa"/>
            <w:shd w:val="clear" w:color="auto" w:fill="C2D69B" w:themeFill="accent3" w:themeFillTint="99"/>
            <w:vAlign w:val="center"/>
          </w:tcPr>
          <w:p w:rsidR="00B103FA" w:rsidRPr="008B4E31" w:rsidRDefault="00B103FA" w:rsidP="00B103F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814" w:type="dxa"/>
            <w:shd w:val="clear" w:color="auto" w:fill="C2D69B" w:themeFill="accent3" w:themeFillTint="99"/>
            <w:vAlign w:val="center"/>
          </w:tcPr>
          <w:p w:rsidR="00B103FA" w:rsidRPr="008B4E31" w:rsidRDefault="00B103FA" w:rsidP="00B103F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815" w:type="dxa"/>
            <w:shd w:val="clear" w:color="auto" w:fill="C2D69B" w:themeFill="accent3" w:themeFillTint="99"/>
            <w:vAlign w:val="center"/>
          </w:tcPr>
          <w:p w:rsidR="00B103FA" w:rsidRPr="008B4E31" w:rsidRDefault="00B103FA" w:rsidP="00B103F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814" w:type="dxa"/>
            <w:shd w:val="clear" w:color="auto" w:fill="C2D69B" w:themeFill="accent3" w:themeFillTint="99"/>
          </w:tcPr>
          <w:p w:rsidR="00B103FA" w:rsidRPr="008B4E31" w:rsidRDefault="00B103FA" w:rsidP="0071148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815" w:type="dxa"/>
            <w:shd w:val="clear" w:color="auto" w:fill="C2D69B" w:themeFill="accent3" w:themeFillTint="99"/>
          </w:tcPr>
          <w:p w:rsidR="00B103FA" w:rsidRPr="008B4E31" w:rsidRDefault="00B103FA" w:rsidP="0071148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2024</w:t>
            </w:r>
          </w:p>
        </w:tc>
      </w:tr>
      <w:tr w:rsidR="00B103FA" w:rsidTr="008B4E31">
        <w:trPr>
          <w:trHeight w:val="236"/>
        </w:trPr>
        <w:tc>
          <w:tcPr>
            <w:tcW w:w="9072" w:type="dxa"/>
            <w:gridSpan w:val="5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porady zawodowe indywidualne</w:t>
            </w:r>
          </w:p>
        </w:tc>
      </w:tr>
      <w:tr w:rsidR="00B103FA" w:rsidRPr="009C37C1" w:rsidTr="008B4E31">
        <w:trPr>
          <w:trHeight w:val="226"/>
        </w:trPr>
        <w:tc>
          <w:tcPr>
            <w:tcW w:w="1814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940 osób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901 osób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1260 osób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B103FA" w:rsidRPr="008B4E31" w:rsidRDefault="0037125E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1181 osób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:rsidR="00B103FA" w:rsidRPr="008B4E31" w:rsidRDefault="0037125E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1257 osób</w:t>
            </w:r>
          </w:p>
        </w:tc>
      </w:tr>
      <w:tr w:rsidR="00B103FA" w:rsidRPr="009C37C1" w:rsidTr="008B4E31">
        <w:trPr>
          <w:trHeight w:val="398"/>
        </w:trPr>
        <w:tc>
          <w:tcPr>
            <w:tcW w:w="9072" w:type="dxa"/>
            <w:gridSpan w:val="5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porady zawodowe grupowe</w:t>
            </w:r>
          </w:p>
        </w:tc>
      </w:tr>
      <w:tr w:rsidR="00B103FA" w:rsidRPr="009C37C1" w:rsidTr="008B4E31">
        <w:trPr>
          <w:trHeight w:val="398"/>
        </w:trPr>
        <w:tc>
          <w:tcPr>
            <w:tcW w:w="1814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28 osób/5 grup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0 (ze względów epidemiologicznych)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97 osób/9 grup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B103FA" w:rsidRPr="008B4E31" w:rsidRDefault="0037125E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183 osoby/26 grup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:rsidR="00B103FA" w:rsidRPr="008B4E31" w:rsidRDefault="0037125E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77 osób/11 grup</w:t>
            </w:r>
          </w:p>
        </w:tc>
      </w:tr>
      <w:tr w:rsidR="00B103FA" w:rsidRPr="009C37C1" w:rsidTr="008B4E31">
        <w:trPr>
          <w:trHeight w:val="441"/>
        </w:trPr>
        <w:tc>
          <w:tcPr>
            <w:tcW w:w="9072" w:type="dxa"/>
            <w:gridSpan w:val="5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indywidualne informacje zawodowe</w:t>
            </w:r>
          </w:p>
        </w:tc>
      </w:tr>
      <w:tr w:rsidR="00B103FA" w:rsidRPr="009C37C1" w:rsidTr="008B4E31">
        <w:trPr>
          <w:trHeight w:val="441"/>
        </w:trPr>
        <w:tc>
          <w:tcPr>
            <w:tcW w:w="1814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 xml:space="preserve">5718 wizyt/kontaktów </w:t>
            </w:r>
            <w:proofErr w:type="spellStart"/>
            <w:r w:rsidRPr="008B4E31">
              <w:rPr>
                <w:rFonts w:ascii="Times New Roman" w:hAnsi="Times New Roman"/>
              </w:rPr>
              <w:t>tel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6937</w:t>
            </w:r>
          </w:p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 xml:space="preserve">wizyt/kontaktów </w:t>
            </w:r>
            <w:proofErr w:type="spellStart"/>
            <w:r w:rsidRPr="008B4E31">
              <w:rPr>
                <w:rFonts w:ascii="Times New Roman" w:hAnsi="Times New Roman"/>
              </w:rPr>
              <w:t>tel</w:t>
            </w:r>
            <w:proofErr w:type="spellEnd"/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 xml:space="preserve">5976 wizyt/kontaktów </w:t>
            </w:r>
            <w:proofErr w:type="spellStart"/>
            <w:r w:rsidRPr="008B4E31">
              <w:rPr>
                <w:rFonts w:ascii="Times New Roman" w:hAnsi="Times New Roman"/>
              </w:rPr>
              <w:t>tel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37125E" w:rsidRPr="008B4E31" w:rsidRDefault="0037125E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4342</w:t>
            </w:r>
          </w:p>
          <w:p w:rsidR="00B103FA" w:rsidRPr="008B4E31" w:rsidRDefault="0037125E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 xml:space="preserve">wizyt/kontaktów </w:t>
            </w:r>
            <w:proofErr w:type="spellStart"/>
            <w:r w:rsidRPr="008B4E31">
              <w:rPr>
                <w:rFonts w:ascii="Times New Roman" w:hAnsi="Times New Roman"/>
              </w:rPr>
              <w:t>tel</w:t>
            </w:r>
            <w:proofErr w:type="spellEnd"/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:rsidR="00B103FA" w:rsidRPr="008B4E31" w:rsidRDefault="0037125E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 xml:space="preserve">4429 wizyt/kontaktów </w:t>
            </w:r>
            <w:proofErr w:type="spellStart"/>
            <w:r w:rsidRPr="008B4E31">
              <w:rPr>
                <w:rFonts w:ascii="Times New Roman" w:hAnsi="Times New Roman"/>
              </w:rPr>
              <w:t>tel</w:t>
            </w:r>
            <w:proofErr w:type="spellEnd"/>
          </w:p>
        </w:tc>
      </w:tr>
      <w:tr w:rsidR="00B103FA" w:rsidRPr="009C37C1" w:rsidTr="008B4E31">
        <w:trPr>
          <w:trHeight w:val="420"/>
        </w:trPr>
        <w:tc>
          <w:tcPr>
            <w:tcW w:w="9072" w:type="dxa"/>
            <w:gridSpan w:val="5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grupowe informacje zawodowe</w:t>
            </w:r>
          </w:p>
        </w:tc>
      </w:tr>
      <w:tr w:rsidR="00B103FA" w:rsidRPr="009C37C1" w:rsidTr="008B4E31">
        <w:trPr>
          <w:trHeight w:val="420"/>
        </w:trPr>
        <w:tc>
          <w:tcPr>
            <w:tcW w:w="1814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39 osób/4 grupy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0 (ze względów epidemiologicznych)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:rsidR="00B103FA" w:rsidRPr="008B4E31" w:rsidRDefault="00B103FA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215 osób/25 grupy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B103FA" w:rsidRPr="008B4E31" w:rsidRDefault="0037125E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402 osoby/34 grup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:rsidR="00B103FA" w:rsidRPr="008B4E31" w:rsidRDefault="0037125E" w:rsidP="0037125E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765 osób/72 grupy</w:t>
            </w:r>
          </w:p>
        </w:tc>
      </w:tr>
    </w:tbl>
    <w:p w:rsidR="00B103FA" w:rsidRDefault="00B103FA" w:rsidP="00E14439">
      <w:pPr>
        <w:pStyle w:val="Akapitzlist"/>
        <w:ind w:left="0"/>
        <w:jc w:val="both"/>
        <w:rPr>
          <w:rFonts w:ascii="Times New Roman" w:hAnsi="Times New Roman"/>
          <w:b/>
          <w:i/>
        </w:rPr>
      </w:pPr>
    </w:p>
    <w:p w:rsidR="00711485" w:rsidRDefault="008F0CD7" w:rsidP="00E14439">
      <w:pPr>
        <w:pStyle w:val="Akapitzlist"/>
        <w:ind w:left="0"/>
        <w:jc w:val="both"/>
        <w:rPr>
          <w:rFonts w:ascii="Times New Roman" w:hAnsi="Times New Roman"/>
          <w:bCs/>
        </w:rPr>
      </w:pPr>
      <w:r w:rsidRPr="008B4E31">
        <w:rPr>
          <w:rFonts w:ascii="Times New Roman" w:hAnsi="Times New Roman"/>
          <w:bCs/>
        </w:rPr>
        <w:t>Doradcy zawodowi zorganizowali w siedzibie PUP spotkania tematyczne dedykowane dla osób bezrobotnych z przedstawicielami ZUS, Wojskowego Centrum Rekrutacji w Pile, Powiatowej Komendy Policji w Chodzieży oraz lokalnymi fundacjami oferującymi pomoc osobom niepełnosprawnym, obywatelom Ukrainy itp.</w:t>
      </w:r>
      <w:r w:rsidR="00711485" w:rsidRPr="008B4E31">
        <w:rPr>
          <w:rFonts w:ascii="Times New Roman" w:hAnsi="Times New Roman"/>
          <w:bCs/>
        </w:rPr>
        <w:t xml:space="preserve"> W ramach realizowanego projektu pilotażowego „Czas na młodych” zorganizowano spotkania z psychologiem, dietetykiem, doradcą podatkowo-finansowym, fizjoterapeutą, instruktorem jogi oraz 2-dniowe warsztaty z zakresu pierwszej pomocy. Doradcy zawodowi odwiedzają też lokalne placówki edukacyjne, prowadząc spotkania z młodzieżą.</w:t>
      </w:r>
    </w:p>
    <w:p w:rsidR="00C54062" w:rsidRPr="008B4E31" w:rsidRDefault="00C54062" w:rsidP="00E14439">
      <w:pPr>
        <w:pStyle w:val="Akapitzlist"/>
        <w:ind w:left="0"/>
        <w:jc w:val="both"/>
        <w:rPr>
          <w:rFonts w:ascii="Times New Roman" w:hAnsi="Times New Roman"/>
          <w:bCs/>
        </w:rPr>
      </w:pPr>
    </w:p>
    <w:p w:rsidR="00B103FA" w:rsidRPr="00C54062" w:rsidRDefault="00C54062" w:rsidP="00C5406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C54062">
        <w:rPr>
          <w:rFonts w:ascii="Times New Roman" w:hAnsi="Times New Roman"/>
          <w:b/>
          <w:bCs/>
          <w:sz w:val="24"/>
          <w:szCs w:val="24"/>
        </w:rPr>
        <w:t>INNE DZIAŁANIA</w:t>
      </w:r>
    </w:p>
    <w:p w:rsidR="00205E69" w:rsidRPr="008B4E31" w:rsidRDefault="00C54062" w:rsidP="00205E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r</w:t>
      </w:r>
      <w:r w:rsidRPr="008B4E31">
        <w:rPr>
          <w:rFonts w:ascii="Times New Roman" w:hAnsi="Times New Roman"/>
          <w:b/>
        </w:rPr>
        <w:t>ejestracj</w:t>
      </w:r>
      <w:r>
        <w:rPr>
          <w:rFonts w:ascii="Times New Roman" w:hAnsi="Times New Roman"/>
          <w:b/>
        </w:rPr>
        <w:t>a</w:t>
      </w:r>
      <w:r w:rsidRPr="008B4E31">
        <w:rPr>
          <w:rFonts w:ascii="Times New Roman" w:hAnsi="Times New Roman"/>
          <w:b/>
        </w:rPr>
        <w:t xml:space="preserve"> cudzoziemców z zamiarem zatrudnienia na terytorium </w:t>
      </w:r>
      <w:r>
        <w:rPr>
          <w:rFonts w:ascii="Times New Roman" w:hAnsi="Times New Roman"/>
          <w:b/>
        </w:rPr>
        <w:t>R</w:t>
      </w:r>
      <w:r w:rsidRPr="008B4E31">
        <w:rPr>
          <w:rFonts w:ascii="Times New Roman" w:hAnsi="Times New Roman"/>
          <w:b/>
        </w:rPr>
        <w:t xml:space="preserve">zeczpospolitej </w:t>
      </w:r>
      <w:r>
        <w:rPr>
          <w:rFonts w:ascii="Times New Roman" w:hAnsi="Times New Roman"/>
          <w:b/>
        </w:rPr>
        <w:t>P</w:t>
      </w:r>
      <w:r w:rsidRPr="008B4E31">
        <w:rPr>
          <w:rFonts w:ascii="Times New Roman" w:hAnsi="Times New Roman"/>
          <w:b/>
        </w:rPr>
        <w:t>olskiej</w:t>
      </w:r>
      <w:r w:rsidR="006B2092">
        <w:rPr>
          <w:rFonts w:ascii="Times New Roman" w:hAnsi="Times New Roman"/>
          <w:b/>
        </w:rPr>
        <w:t xml:space="preserve">. </w:t>
      </w:r>
      <w:r w:rsidR="00205E69" w:rsidRPr="00205E69">
        <w:rPr>
          <w:rFonts w:ascii="Times New Roman" w:hAnsi="Times New Roman"/>
        </w:rPr>
        <w:t xml:space="preserve"> D</w:t>
      </w:r>
      <w:r w:rsidR="00205E69" w:rsidRPr="008B4E31">
        <w:rPr>
          <w:rFonts w:ascii="Times New Roman" w:hAnsi="Times New Roman"/>
        </w:rPr>
        <w:t>o Powiatowego Urzędu Pracy w Chodzieży w latach 2020/2024 łącznie wpłynęło: 909</w:t>
      </w:r>
      <w:r w:rsidR="00205E69" w:rsidRPr="008B4E31">
        <w:rPr>
          <w:rFonts w:ascii="Times New Roman" w:hAnsi="Times New Roman"/>
          <w:b/>
        </w:rPr>
        <w:t xml:space="preserve"> </w:t>
      </w:r>
      <w:r w:rsidR="00205E69" w:rsidRPr="008B4E31">
        <w:rPr>
          <w:rFonts w:ascii="Times New Roman" w:hAnsi="Times New Roman"/>
        </w:rPr>
        <w:t>wniosków o wydanie zezwolenia na pracę sezonową cudzoziemców, 1460</w:t>
      </w:r>
      <w:r w:rsidR="00205E69" w:rsidRPr="008B4E31">
        <w:rPr>
          <w:rFonts w:ascii="Times New Roman" w:hAnsi="Times New Roman"/>
          <w:b/>
        </w:rPr>
        <w:t xml:space="preserve"> </w:t>
      </w:r>
      <w:r w:rsidR="00205E69" w:rsidRPr="008B4E31">
        <w:rPr>
          <w:rFonts w:ascii="Times New Roman" w:hAnsi="Times New Roman"/>
        </w:rPr>
        <w:t>oświadczeń pracodawców o zamiarze powierzenia wykonywania pracy cudzoziemcowi oraz wpłynęło 830 powiadomień o powierzeniu pracy obywatelowi Ukrainy</w:t>
      </w:r>
      <w:r w:rsidR="00205E69" w:rsidRPr="008B4E31">
        <w:rPr>
          <w:rFonts w:ascii="Times New Roman" w:hAnsi="Times New Roman"/>
          <w:bCs/>
        </w:rPr>
        <w:t xml:space="preserve"> (nowa forma wprowadzona specustawą</w:t>
      </w:r>
      <w:r w:rsidR="00205E69" w:rsidRPr="008B4E31">
        <w:rPr>
          <w:rStyle w:val="Odwoanieprzypisudolnego"/>
          <w:rFonts w:ascii="Times New Roman" w:hAnsi="Times New Roman"/>
          <w:bCs/>
        </w:rPr>
        <w:footnoteReference w:id="1"/>
      </w:r>
      <w:r w:rsidR="00205E69" w:rsidRPr="008B4E31">
        <w:rPr>
          <w:rFonts w:ascii="Times New Roman" w:hAnsi="Times New Roman"/>
          <w:bCs/>
        </w:rPr>
        <w:t>)</w:t>
      </w:r>
      <w:r w:rsidR="00205E69" w:rsidRPr="008B4E31">
        <w:rPr>
          <w:rFonts w:ascii="Times New Roman" w:hAnsi="Times New Roman"/>
        </w:rPr>
        <w:t>.</w:t>
      </w:r>
    </w:p>
    <w:tbl>
      <w:tblPr>
        <w:tblStyle w:val="Tabela-Siatka"/>
        <w:tblW w:w="0" w:type="auto"/>
        <w:jc w:val="center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12" w:space="0" w:color="76923C" w:themeColor="accent3" w:themeShade="BF"/>
          <w:insideV w:val="single" w:sz="12" w:space="0" w:color="76923C" w:themeColor="accent3" w:themeShade="BF"/>
        </w:tblBorders>
        <w:shd w:val="clear" w:color="auto" w:fill="D6E3BC" w:themeFill="accent3" w:themeFillTint="66"/>
        <w:tblLook w:val="04A0"/>
      </w:tblPr>
      <w:tblGrid>
        <w:gridCol w:w="1719"/>
        <w:gridCol w:w="1513"/>
        <w:gridCol w:w="1630"/>
        <w:gridCol w:w="1790"/>
      </w:tblGrid>
      <w:tr w:rsidR="00205E69" w:rsidRPr="00352302" w:rsidTr="00547B4F">
        <w:trPr>
          <w:jc w:val="center"/>
        </w:trPr>
        <w:tc>
          <w:tcPr>
            <w:tcW w:w="1719" w:type="dxa"/>
            <w:shd w:val="clear" w:color="auto" w:fill="C2D69B" w:themeFill="accent3" w:themeFillTint="99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Rok</w:t>
            </w:r>
          </w:p>
        </w:tc>
        <w:tc>
          <w:tcPr>
            <w:tcW w:w="1513" w:type="dxa"/>
            <w:tcBorders>
              <w:bottom w:val="single" w:sz="12" w:space="0" w:color="76923C" w:themeColor="accent3" w:themeShade="BF"/>
            </w:tcBorders>
            <w:shd w:val="clear" w:color="auto" w:fill="C2D69B" w:themeFill="accent3" w:themeFillTint="99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Wnioski</w:t>
            </w:r>
          </w:p>
        </w:tc>
        <w:tc>
          <w:tcPr>
            <w:tcW w:w="1630" w:type="dxa"/>
            <w:tcBorders>
              <w:bottom w:val="single" w:sz="12" w:space="0" w:color="76923C" w:themeColor="accent3" w:themeShade="BF"/>
            </w:tcBorders>
            <w:shd w:val="clear" w:color="auto" w:fill="C2D69B" w:themeFill="accent3" w:themeFillTint="99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Oświadczenia</w:t>
            </w:r>
          </w:p>
        </w:tc>
        <w:tc>
          <w:tcPr>
            <w:tcW w:w="1790" w:type="dxa"/>
            <w:tcBorders>
              <w:bottom w:val="single" w:sz="12" w:space="0" w:color="76923C" w:themeColor="accent3" w:themeShade="BF"/>
            </w:tcBorders>
            <w:shd w:val="clear" w:color="auto" w:fill="C2D69B" w:themeFill="accent3" w:themeFillTint="99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Powiadomienia</w:t>
            </w:r>
          </w:p>
        </w:tc>
      </w:tr>
      <w:tr w:rsidR="00205E69" w:rsidRPr="00352302" w:rsidTr="00547B4F">
        <w:trPr>
          <w:jc w:val="center"/>
        </w:trPr>
        <w:tc>
          <w:tcPr>
            <w:tcW w:w="1719" w:type="dxa"/>
            <w:shd w:val="clear" w:color="auto" w:fill="D6E3BC" w:themeFill="accent3" w:themeFillTint="66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513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210</w:t>
            </w:r>
          </w:p>
        </w:tc>
        <w:tc>
          <w:tcPr>
            <w:tcW w:w="1630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437</w:t>
            </w:r>
          </w:p>
        </w:tc>
        <w:tc>
          <w:tcPr>
            <w:tcW w:w="1790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x</w:t>
            </w:r>
          </w:p>
        </w:tc>
      </w:tr>
      <w:tr w:rsidR="00205E69" w:rsidRPr="00352302" w:rsidTr="00547B4F">
        <w:trPr>
          <w:jc w:val="center"/>
        </w:trPr>
        <w:tc>
          <w:tcPr>
            <w:tcW w:w="1719" w:type="dxa"/>
            <w:shd w:val="clear" w:color="auto" w:fill="D6E3BC" w:themeFill="accent3" w:themeFillTint="66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513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293</w:t>
            </w:r>
          </w:p>
        </w:tc>
        <w:tc>
          <w:tcPr>
            <w:tcW w:w="1630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471</w:t>
            </w:r>
          </w:p>
        </w:tc>
        <w:tc>
          <w:tcPr>
            <w:tcW w:w="1790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x</w:t>
            </w:r>
          </w:p>
        </w:tc>
      </w:tr>
      <w:tr w:rsidR="00205E69" w:rsidRPr="00352302" w:rsidTr="00547B4F">
        <w:trPr>
          <w:jc w:val="center"/>
        </w:trPr>
        <w:tc>
          <w:tcPr>
            <w:tcW w:w="1719" w:type="dxa"/>
            <w:shd w:val="clear" w:color="auto" w:fill="D6E3BC" w:themeFill="accent3" w:themeFillTint="66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513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161</w:t>
            </w:r>
          </w:p>
        </w:tc>
        <w:tc>
          <w:tcPr>
            <w:tcW w:w="1630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257</w:t>
            </w:r>
          </w:p>
        </w:tc>
        <w:tc>
          <w:tcPr>
            <w:tcW w:w="1790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251</w:t>
            </w:r>
          </w:p>
        </w:tc>
      </w:tr>
      <w:tr w:rsidR="00205E69" w:rsidRPr="00352302" w:rsidTr="00547B4F">
        <w:trPr>
          <w:jc w:val="center"/>
        </w:trPr>
        <w:tc>
          <w:tcPr>
            <w:tcW w:w="1719" w:type="dxa"/>
            <w:shd w:val="clear" w:color="auto" w:fill="D6E3BC" w:themeFill="accent3" w:themeFillTint="66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513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88</w:t>
            </w:r>
          </w:p>
        </w:tc>
        <w:tc>
          <w:tcPr>
            <w:tcW w:w="1630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129</w:t>
            </w:r>
          </w:p>
        </w:tc>
        <w:tc>
          <w:tcPr>
            <w:tcW w:w="1790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260</w:t>
            </w:r>
          </w:p>
        </w:tc>
      </w:tr>
      <w:tr w:rsidR="00205E69" w:rsidRPr="00352302" w:rsidTr="00547B4F">
        <w:trPr>
          <w:jc w:val="center"/>
        </w:trPr>
        <w:tc>
          <w:tcPr>
            <w:tcW w:w="1719" w:type="dxa"/>
            <w:shd w:val="clear" w:color="auto" w:fill="D6E3BC" w:themeFill="accent3" w:themeFillTint="66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B4E31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513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157</w:t>
            </w:r>
          </w:p>
        </w:tc>
        <w:tc>
          <w:tcPr>
            <w:tcW w:w="1630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166</w:t>
            </w:r>
          </w:p>
        </w:tc>
        <w:tc>
          <w:tcPr>
            <w:tcW w:w="1790" w:type="dxa"/>
            <w:shd w:val="clear" w:color="auto" w:fill="FFFFFF" w:themeFill="background1"/>
          </w:tcPr>
          <w:p w:rsidR="00205E69" w:rsidRPr="008B4E31" w:rsidRDefault="00205E69" w:rsidP="00547B4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B4E31">
              <w:rPr>
                <w:rFonts w:ascii="Times New Roman" w:hAnsi="Times New Roman"/>
              </w:rPr>
              <w:t>319</w:t>
            </w:r>
          </w:p>
        </w:tc>
      </w:tr>
    </w:tbl>
    <w:p w:rsidR="00205E69" w:rsidRDefault="00205E69" w:rsidP="00205E69">
      <w:pPr>
        <w:spacing w:before="240" w:after="0"/>
        <w:jc w:val="both"/>
        <w:rPr>
          <w:rFonts w:ascii="Times New Roman" w:hAnsi="Times New Roman"/>
        </w:rPr>
      </w:pPr>
      <w:r w:rsidRPr="008B4E31">
        <w:rPr>
          <w:rFonts w:ascii="Times New Roman" w:hAnsi="Times New Roman"/>
        </w:rPr>
        <w:t xml:space="preserve">W zdecydowanej większości dotyczyły one cudzoziemców narodowości ukraińskiej, zatrudnianych głównie w produkcji rolnej oraz branży transportowej, produkcyjno – przemysłowej oraz budowlanej. </w:t>
      </w:r>
    </w:p>
    <w:p w:rsidR="00205E69" w:rsidRDefault="00205E69" w:rsidP="00E14439">
      <w:pPr>
        <w:pStyle w:val="Akapitzlist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4E31" w:rsidRDefault="006B2092" w:rsidP="00E14439">
      <w:pPr>
        <w:pStyle w:val="Akapitzlist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6B2092">
        <w:rPr>
          <w:rFonts w:ascii="Times New Roman" w:hAnsi="Times New Roman"/>
          <w:b/>
          <w:bCs/>
        </w:rPr>
        <w:t>zwolnienia grupowe</w:t>
      </w:r>
      <w:r>
        <w:rPr>
          <w:rFonts w:ascii="Times New Roman" w:hAnsi="Times New Roman"/>
          <w:b/>
          <w:bCs/>
        </w:rPr>
        <w:t xml:space="preserve"> - </w:t>
      </w:r>
      <w:r w:rsidRPr="006B2092">
        <w:rPr>
          <w:rFonts w:ascii="Times New Roman" w:hAnsi="Times New Roman"/>
          <w:bCs/>
        </w:rPr>
        <w:t xml:space="preserve">na przełomie lat 2020/2024 zgłoszono </w:t>
      </w:r>
      <w:r>
        <w:rPr>
          <w:rFonts w:ascii="Times New Roman" w:hAnsi="Times New Roman"/>
          <w:bCs/>
        </w:rPr>
        <w:t>do Powiatowego Urzędu Pracy w Chodzieży 3 zwolnienia grupowe, w tym 1 monitorowane:</w:t>
      </w:r>
    </w:p>
    <w:p w:rsidR="006B2092" w:rsidRDefault="006B2092" w:rsidP="00E14439">
      <w:pPr>
        <w:pStyle w:val="Akapitzlist"/>
        <w:ind w:left="0"/>
        <w:jc w:val="both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12" w:space="0" w:color="76923C" w:themeColor="accent3" w:themeShade="BF"/>
          <w:insideV w:val="single" w:sz="12" w:space="0" w:color="76923C" w:themeColor="accent3" w:themeShade="BF"/>
        </w:tblBorders>
        <w:tblLook w:val="04A0"/>
      </w:tblPr>
      <w:tblGrid>
        <w:gridCol w:w="3070"/>
        <w:gridCol w:w="3071"/>
        <w:gridCol w:w="3071"/>
      </w:tblGrid>
      <w:tr w:rsidR="006B2092" w:rsidTr="00330F33">
        <w:tc>
          <w:tcPr>
            <w:tcW w:w="3070" w:type="dxa"/>
            <w:shd w:val="clear" w:color="auto" w:fill="C2D69B" w:themeFill="accent3" w:themeFillTint="99"/>
            <w:vAlign w:val="center"/>
          </w:tcPr>
          <w:p w:rsidR="006B2092" w:rsidRPr="00330F33" w:rsidRDefault="006B2092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30F33">
              <w:rPr>
                <w:rFonts w:ascii="Times New Roman" w:hAnsi="Times New Roman"/>
                <w:b/>
                <w:bCs/>
              </w:rPr>
              <w:t>Nazwa firmy zgłaszającej zwolnienia grupowe</w:t>
            </w:r>
          </w:p>
        </w:tc>
        <w:tc>
          <w:tcPr>
            <w:tcW w:w="3071" w:type="dxa"/>
            <w:shd w:val="clear" w:color="auto" w:fill="C2D69B" w:themeFill="accent3" w:themeFillTint="99"/>
            <w:vAlign w:val="center"/>
          </w:tcPr>
          <w:p w:rsidR="006B2092" w:rsidRPr="00330F33" w:rsidRDefault="006B2092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30F33">
              <w:rPr>
                <w:rFonts w:ascii="Times New Roman" w:hAnsi="Times New Roman"/>
                <w:b/>
                <w:bCs/>
              </w:rPr>
              <w:t>Okres wypowiedzeń</w:t>
            </w:r>
          </w:p>
        </w:tc>
        <w:tc>
          <w:tcPr>
            <w:tcW w:w="3071" w:type="dxa"/>
            <w:shd w:val="clear" w:color="auto" w:fill="C2D69B" w:themeFill="accent3" w:themeFillTint="99"/>
            <w:vAlign w:val="center"/>
          </w:tcPr>
          <w:p w:rsidR="006B2092" w:rsidRPr="00330F33" w:rsidRDefault="006B2092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30F33">
              <w:rPr>
                <w:rFonts w:ascii="Times New Roman" w:hAnsi="Times New Roman"/>
                <w:b/>
                <w:bCs/>
              </w:rPr>
              <w:t>Ilość osób objętych zwolnieniami</w:t>
            </w:r>
          </w:p>
        </w:tc>
      </w:tr>
      <w:tr w:rsidR="006B2092" w:rsidTr="00330F33">
        <w:tc>
          <w:tcPr>
            <w:tcW w:w="3070" w:type="dxa"/>
            <w:vAlign w:val="center"/>
          </w:tcPr>
          <w:p w:rsidR="006B2092" w:rsidRDefault="006B2092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Polskie Fabryki Porcelany </w:t>
            </w:r>
            <w:r w:rsidR="00AB58F3">
              <w:rPr>
                <w:rFonts w:ascii="Times New Roman" w:hAnsi="Times New Roman"/>
                <w:bCs/>
              </w:rPr>
              <w:t>„Ćmielów” i „Chodzież” Spółka Akcyjna z siedzibą w Ćmielowie</w:t>
            </w:r>
          </w:p>
        </w:tc>
        <w:tc>
          <w:tcPr>
            <w:tcW w:w="3071" w:type="dxa"/>
            <w:vAlign w:val="center"/>
          </w:tcPr>
          <w:p w:rsidR="00AB58F3" w:rsidRDefault="00AB58F3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06.06.2019 – 30.06.2019r.</w:t>
            </w:r>
          </w:p>
          <w:p w:rsidR="006B2092" w:rsidRDefault="00AB58F3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10.03.2020 – 31.03.2020r.</w:t>
            </w:r>
          </w:p>
        </w:tc>
        <w:tc>
          <w:tcPr>
            <w:tcW w:w="3071" w:type="dxa"/>
            <w:vAlign w:val="center"/>
          </w:tcPr>
          <w:p w:rsidR="00AB58F3" w:rsidRDefault="00AB58F3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197 osób</w:t>
            </w:r>
          </w:p>
          <w:p w:rsidR="006B2092" w:rsidRDefault="00AB58F3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138 osób</w:t>
            </w:r>
          </w:p>
        </w:tc>
      </w:tr>
      <w:tr w:rsidR="006B2092" w:rsidTr="00330F33">
        <w:tc>
          <w:tcPr>
            <w:tcW w:w="3070" w:type="dxa"/>
            <w:vAlign w:val="center"/>
          </w:tcPr>
          <w:p w:rsidR="006B2092" w:rsidRDefault="00AB58F3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Poczta Polska S.A. - kraj</w:t>
            </w:r>
          </w:p>
        </w:tc>
        <w:tc>
          <w:tcPr>
            <w:tcW w:w="3071" w:type="dxa"/>
            <w:vAlign w:val="center"/>
          </w:tcPr>
          <w:p w:rsidR="006B2092" w:rsidRDefault="00AB58F3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01.06.2021 – 31.12.2021r.</w:t>
            </w:r>
          </w:p>
        </w:tc>
        <w:tc>
          <w:tcPr>
            <w:tcW w:w="3071" w:type="dxa"/>
            <w:vAlign w:val="center"/>
          </w:tcPr>
          <w:p w:rsidR="006B2092" w:rsidRDefault="00AB58F3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osoby z powiatu chodzieskiego</w:t>
            </w:r>
          </w:p>
        </w:tc>
      </w:tr>
      <w:tr w:rsidR="006B2092" w:rsidTr="00330F33">
        <w:tc>
          <w:tcPr>
            <w:tcW w:w="3070" w:type="dxa"/>
            <w:vAlign w:val="center"/>
          </w:tcPr>
          <w:p w:rsidR="006B2092" w:rsidRDefault="00AB58F3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Przedsiębiorstwo Tworzyw Sztucznych „CERPLAST” Sp. z o.o. </w:t>
            </w:r>
            <w:proofErr w:type="spellStart"/>
            <w:r>
              <w:rPr>
                <w:rFonts w:ascii="Times New Roman" w:hAnsi="Times New Roman"/>
                <w:bCs/>
              </w:rPr>
              <w:t>Sp.k</w:t>
            </w:r>
            <w:proofErr w:type="spellEnd"/>
            <w:r>
              <w:rPr>
                <w:rFonts w:ascii="Times New Roman" w:hAnsi="Times New Roman"/>
                <w:bCs/>
              </w:rPr>
              <w:t xml:space="preserve"> w Oleśnicy</w:t>
            </w:r>
          </w:p>
        </w:tc>
        <w:tc>
          <w:tcPr>
            <w:tcW w:w="3071" w:type="dxa"/>
            <w:vAlign w:val="center"/>
          </w:tcPr>
          <w:p w:rsidR="006B2092" w:rsidRDefault="00330F33" w:rsidP="00330F33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30.08.2024 – 31.12.2024r.</w:t>
            </w:r>
          </w:p>
        </w:tc>
        <w:tc>
          <w:tcPr>
            <w:tcW w:w="3071" w:type="dxa"/>
            <w:vAlign w:val="center"/>
          </w:tcPr>
          <w:p w:rsidR="006B2092" w:rsidRDefault="00330F33" w:rsidP="00C74DC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osób</w:t>
            </w:r>
          </w:p>
        </w:tc>
      </w:tr>
    </w:tbl>
    <w:p w:rsidR="006B2092" w:rsidRDefault="006B2092" w:rsidP="00E14439">
      <w:pPr>
        <w:pStyle w:val="Akapitzlist"/>
        <w:ind w:left="0"/>
        <w:jc w:val="both"/>
        <w:rPr>
          <w:rFonts w:ascii="Times New Roman" w:hAnsi="Times New Roman"/>
          <w:bCs/>
        </w:rPr>
      </w:pPr>
    </w:p>
    <w:p w:rsidR="00205E69" w:rsidRPr="00A87E9C" w:rsidRDefault="00205E69" w:rsidP="00E14439">
      <w:pPr>
        <w:pStyle w:val="Akapitzlist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03146" w:rsidRPr="00C74DCA" w:rsidRDefault="00C74DCA" w:rsidP="00C74DCA">
      <w:pPr>
        <w:spacing w:line="240" w:lineRule="auto"/>
        <w:jc w:val="both"/>
        <w:rPr>
          <w:rFonts w:ascii="Times New Roman" w:hAnsi="Times New Roman"/>
          <w:b/>
        </w:rPr>
      </w:pPr>
      <w:r w:rsidRPr="00C74DCA">
        <w:rPr>
          <w:rFonts w:ascii="Times New Roman" w:hAnsi="Times New Roman"/>
          <w:b/>
        </w:rPr>
        <w:t>- realizacja zadań w ramach tarczy antykryzysowej covid-19</w:t>
      </w:r>
    </w:p>
    <w:p w:rsidR="00776D06" w:rsidRPr="00C74DCA" w:rsidRDefault="00776D06" w:rsidP="00C74DCA">
      <w:pPr>
        <w:jc w:val="both"/>
        <w:rPr>
          <w:rFonts w:ascii="Times New Roman" w:hAnsi="Times New Roman"/>
          <w:bCs/>
        </w:rPr>
      </w:pPr>
      <w:r w:rsidRPr="00C74DCA">
        <w:rPr>
          <w:rFonts w:ascii="Times New Roman" w:hAnsi="Times New Roman"/>
          <w:bCs/>
        </w:rPr>
        <w:t xml:space="preserve">Z dniem 16.03.2020 - podobnie jak w całym kraju - w Powiatowym Urzędzie Pracy w Chodzieży zostały podjęte działania prewencyjne w celu zminimalizowania możliwości wystąpienia i rozprzestrzeniania się epidemii na terenie Powiatu Chodzieskiego. Wprowadzono system telefonicznego kontaktu z pracownikami Urzędu, za pośrednictwem skrzynki </w:t>
      </w:r>
      <w:proofErr w:type="spellStart"/>
      <w:r w:rsidRPr="00C74DCA">
        <w:rPr>
          <w:rFonts w:ascii="Times New Roman" w:hAnsi="Times New Roman"/>
          <w:bCs/>
        </w:rPr>
        <w:t>E-PUAP</w:t>
      </w:r>
      <w:proofErr w:type="spellEnd"/>
      <w:r w:rsidRPr="00C74DCA">
        <w:rPr>
          <w:rFonts w:ascii="Times New Roman" w:hAnsi="Times New Roman"/>
          <w:bCs/>
        </w:rPr>
        <w:t>, poczty tradycyjnej i elektronicznej, oraz skrzynki podawczej. Nieprzerwanie rejestrowano osoby bezrobotne elektronicznie lub na podstawie przygotowanej przez pracowników PUP papierowej karty rejestracyjnej, wraz z niezbędnymi dokumentami wymaganymi ustawowo do rejestracji bezrobotnego. Mimo stanu wyjątkowego, urząd funkcjonował tak, by nikogo nie pozostawiać bez pomocy.</w:t>
      </w:r>
    </w:p>
    <w:p w:rsidR="00776D06" w:rsidRPr="00C74DCA" w:rsidRDefault="00776D06" w:rsidP="00C74DCA">
      <w:pPr>
        <w:jc w:val="both"/>
        <w:rPr>
          <w:rFonts w:ascii="Times New Roman" w:hAnsi="Times New Roman"/>
          <w:bCs/>
        </w:rPr>
      </w:pPr>
      <w:r w:rsidRPr="00C74DCA">
        <w:rPr>
          <w:rFonts w:ascii="Times New Roman" w:hAnsi="Times New Roman"/>
          <w:bCs/>
        </w:rPr>
        <w:t xml:space="preserve">W związku z trwającym stanem epidemii COVID-19 i koniecznością przesunięcia środków finansowych na realizację zadań tzw. Tarczy Antykryzysowej, w pierwszym półroczu 2020 realizacja wszystkich form wsparcia w ramach aktywizacji zawodowej bezrobotnych była częściowo zawieszona i realizowano głównie formy wsparcia dla przedsiębiorców. Plan szkoleń nie mógł być w całości zrealizowany, ze względu na obostrzenia reżimu sanitarnego, część szkoleń finansowana z Krajowego Funduszu Szkoleniowego odbywała się w trybie </w:t>
      </w:r>
      <w:proofErr w:type="spellStart"/>
      <w:r w:rsidRPr="00C74DCA">
        <w:rPr>
          <w:rFonts w:ascii="Times New Roman" w:hAnsi="Times New Roman"/>
          <w:bCs/>
        </w:rPr>
        <w:t>on-line</w:t>
      </w:r>
      <w:proofErr w:type="spellEnd"/>
      <w:r w:rsidRPr="00C74DCA">
        <w:rPr>
          <w:rFonts w:ascii="Times New Roman" w:hAnsi="Times New Roman"/>
          <w:bCs/>
        </w:rPr>
        <w:t xml:space="preserve">. Doradcy klienta kontaktowali się z zarejestrowanymi osobami bezrobotnymi głównie poprzez połączenia telefoniczne, </w:t>
      </w:r>
      <w:proofErr w:type="spellStart"/>
      <w:r w:rsidRPr="00C74DCA">
        <w:rPr>
          <w:rFonts w:ascii="Times New Roman" w:hAnsi="Times New Roman"/>
          <w:bCs/>
        </w:rPr>
        <w:t>sms</w:t>
      </w:r>
      <w:proofErr w:type="spellEnd"/>
      <w:r w:rsidRPr="00C74DCA">
        <w:rPr>
          <w:rFonts w:ascii="Times New Roman" w:hAnsi="Times New Roman"/>
          <w:bCs/>
        </w:rPr>
        <w:t>, e-mail.</w:t>
      </w:r>
    </w:p>
    <w:p w:rsidR="00776D06" w:rsidRPr="00C74DCA" w:rsidRDefault="00776D06" w:rsidP="00C74DCA">
      <w:pPr>
        <w:jc w:val="both"/>
        <w:rPr>
          <w:rFonts w:ascii="Times New Roman" w:hAnsi="Times New Roman"/>
          <w:u w:val="single"/>
        </w:rPr>
      </w:pPr>
      <w:r w:rsidRPr="00C74DCA">
        <w:rPr>
          <w:rFonts w:ascii="Times New Roman" w:hAnsi="Times New Roman"/>
        </w:rPr>
        <w:t>Powiatowe Urzędy Pracy zostały zobowiązane przez Wojewodę Wielkopolskiego do nieprzerwanej pracy w zakresie realizacji instrumentów pomocy wprowadzonych przepisami ustawy</w:t>
      </w:r>
      <w:r w:rsidRPr="00C74DCA">
        <w:rPr>
          <w:rStyle w:val="Odwoanieprzypisudolnego"/>
          <w:rFonts w:ascii="Times New Roman" w:hAnsi="Times New Roman"/>
        </w:rPr>
        <w:footnoteReference w:id="2"/>
      </w:r>
      <w:r w:rsidRPr="00C74DCA">
        <w:rPr>
          <w:rFonts w:ascii="Times New Roman" w:hAnsi="Times New Roman"/>
        </w:rPr>
        <w:t xml:space="preserve">, oraz rejestracji osób bezrobotnych </w:t>
      </w:r>
      <w:r w:rsidRPr="00C74DCA">
        <w:rPr>
          <w:rFonts w:ascii="Times New Roman" w:hAnsi="Times New Roman"/>
          <w:i/>
        </w:rPr>
        <w:t xml:space="preserve">na podstawie art. 11 ust. 1 ustawy z dnia 2 marca 2020 r. o szczególnych rozwiązaniach związanych z zapobieganiem, przeciwdziałaniem i zwalczaniem COVID-19, innych chorób zakaźnych oraz wywołanych nimi sytuacji kryzysowych (Dz. U. z 2020 r. poz. 374 ze zm.),  </w:t>
      </w:r>
      <w:r w:rsidR="00C74DCA">
        <w:rPr>
          <w:rFonts w:ascii="Times New Roman" w:hAnsi="Times New Roman"/>
          <w:i/>
        </w:rPr>
        <w:t xml:space="preserve">      </w:t>
      </w:r>
      <w:r w:rsidRPr="00C74DCA">
        <w:rPr>
          <w:rFonts w:ascii="Times New Roman" w:hAnsi="Times New Roman"/>
        </w:rPr>
        <w:t xml:space="preserve">w celu zapewnienia pomocy osobom bezrobotnym i przedsiębiorcom, wymagającym wsparcia </w:t>
      </w:r>
      <w:r w:rsidR="00C74DCA">
        <w:rPr>
          <w:rFonts w:ascii="Times New Roman" w:hAnsi="Times New Roman"/>
        </w:rPr>
        <w:t xml:space="preserve">          </w:t>
      </w:r>
      <w:r w:rsidRPr="00C74DCA">
        <w:rPr>
          <w:rFonts w:ascii="Times New Roman" w:hAnsi="Times New Roman"/>
        </w:rPr>
        <w:t xml:space="preserve">w związku z rozprzestrzenianiem się choroby zakaźnej COVID-19 wywołanej wirusem SARS-CoV-2. </w:t>
      </w:r>
    </w:p>
    <w:p w:rsidR="00776D06" w:rsidRPr="00C74DCA" w:rsidRDefault="00C03146" w:rsidP="00C74DCA">
      <w:pPr>
        <w:spacing w:after="0"/>
        <w:jc w:val="both"/>
        <w:rPr>
          <w:rFonts w:ascii="Times New Roman" w:hAnsi="Times New Roman"/>
        </w:rPr>
      </w:pPr>
      <w:r w:rsidRPr="00C74DCA">
        <w:rPr>
          <w:rFonts w:ascii="Times New Roman" w:hAnsi="Times New Roman"/>
        </w:rPr>
        <w:t xml:space="preserve">W okresie od 01.04.2020 do 31.12.2021 w ramach Tarczy Antykryzysowej do Powiatowego Urzędu Pracy w Chodzieży wpłynęło </w:t>
      </w:r>
      <w:r w:rsidRPr="00C74DCA">
        <w:rPr>
          <w:rFonts w:ascii="Times New Roman" w:hAnsi="Times New Roman"/>
          <w:b/>
        </w:rPr>
        <w:t xml:space="preserve">5110 </w:t>
      </w:r>
      <w:r w:rsidRPr="00C74DCA">
        <w:rPr>
          <w:rFonts w:ascii="Times New Roman" w:hAnsi="Times New Roman"/>
        </w:rPr>
        <w:t xml:space="preserve">wniosków od przedsiębiorców na łączną kwotę </w:t>
      </w:r>
      <w:r w:rsidRPr="00C74DCA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36 377 291,30 </w:t>
      </w:r>
      <w:r w:rsidRPr="00C74DCA">
        <w:rPr>
          <w:rFonts w:ascii="Times New Roman" w:hAnsi="Times New Roman"/>
          <w:b/>
        </w:rPr>
        <w:t>zł</w:t>
      </w:r>
      <w:r w:rsidRPr="00C74DCA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Spec="center" w:tblpY="462"/>
        <w:tblW w:w="8717" w:type="dxa"/>
        <w:jc w:val="center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12" w:space="0" w:color="76923C" w:themeColor="accent3" w:themeShade="BF"/>
          <w:insideV w:val="single" w:sz="12" w:space="0" w:color="76923C" w:themeColor="accent3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1162"/>
        <w:gridCol w:w="1162"/>
        <w:gridCol w:w="1163"/>
        <w:gridCol w:w="1162"/>
        <w:gridCol w:w="1163"/>
      </w:tblGrid>
      <w:tr w:rsidR="00C03146" w:rsidRPr="00063BC7" w:rsidTr="002F0EB1">
        <w:trPr>
          <w:trHeight w:val="1461"/>
          <w:jc w:val="center"/>
        </w:trPr>
        <w:tc>
          <w:tcPr>
            <w:tcW w:w="2905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Instrument wsparcia</w:t>
            </w:r>
          </w:p>
        </w:tc>
        <w:tc>
          <w:tcPr>
            <w:tcW w:w="1162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Liczba wszystkich złożonych wniosków</w:t>
            </w:r>
          </w:p>
        </w:tc>
        <w:tc>
          <w:tcPr>
            <w:tcW w:w="1162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Liczba wniosków pozostawionych bez rozpatrzenia/odrzuconych/wycofanych z realizacji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Różnica                              kol.2-kol.3</w:t>
            </w:r>
          </w:p>
        </w:tc>
        <w:tc>
          <w:tcPr>
            <w:tcW w:w="1162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Liczba wniosków rozpatrzonych pozytywnie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Liczba wnioskujących, którym udzielono pomocy</w:t>
            </w:r>
          </w:p>
        </w:tc>
      </w:tr>
      <w:tr w:rsidR="00C03146" w:rsidRPr="00063BC7" w:rsidTr="002F0EB1">
        <w:trPr>
          <w:trHeight w:val="284"/>
          <w:jc w:val="center"/>
        </w:trPr>
        <w:tc>
          <w:tcPr>
            <w:tcW w:w="2905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2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2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C03146" w:rsidRPr="00063BC7" w:rsidTr="002F0EB1">
        <w:trPr>
          <w:trHeight w:val="850"/>
          <w:jc w:val="center"/>
        </w:trPr>
        <w:tc>
          <w:tcPr>
            <w:tcW w:w="2905" w:type="dxa"/>
            <w:shd w:val="clear" w:color="auto" w:fill="EAF1DD" w:themeFill="accent3" w:themeFillTint="33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art. 15zzb Dofinansowanie przedsiębiorcy części kosztów wynagrodzeń pracowników</w:t>
            </w:r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439</w:t>
            </w:r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115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324</w:t>
            </w:r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323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323</w:t>
            </w:r>
          </w:p>
        </w:tc>
      </w:tr>
      <w:tr w:rsidR="00C03146" w:rsidRPr="00063BC7" w:rsidTr="002F0EB1">
        <w:trPr>
          <w:trHeight w:val="1106"/>
          <w:jc w:val="center"/>
        </w:trPr>
        <w:tc>
          <w:tcPr>
            <w:tcW w:w="2905" w:type="dxa"/>
            <w:shd w:val="clear" w:color="auto" w:fill="EAF1DD" w:themeFill="accent3" w:themeFillTint="33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art. 15zzc Dofinansowanie osobie prowadzącej samodzielnie działalność gospodarczą części kosztów prowadzenia tej działalności</w:t>
            </w:r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679</w:t>
            </w:r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141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538</w:t>
            </w:r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537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537</w:t>
            </w:r>
          </w:p>
        </w:tc>
      </w:tr>
      <w:tr w:rsidR="00C03146" w:rsidRPr="00063BC7" w:rsidTr="002F0EB1">
        <w:trPr>
          <w:trHeight w:val="1134"/>
          <w:jc w:val="center"/>
        </w:trPr>
        <w:tc>
          <w:tcPr>
            <w:tcW w:w="2905" w:type="dxa"/>
            <w:shd w:val="clear" w:color="auto" w:fill="EAF1DD" w:themeFill="accent3" w:themeFillTint="33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art. 15zzd Jednorazowa pożyczka na pokrycie bieżących kosztów prowadzenia działalności gospodarczej </w:t>
            </w:r>
            <w:proofErr w:type="spellStart"/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mikroprzedsiębiorcy</w:t>
            </w:r>
            <w:proofErr w:type="spellEnd"/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3 029</w:t>
            </w:r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478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2 551</w:t>
            </w:r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2 551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2 550</w:t>
            </w:r>
          </w:p>
        </w:tc>
      </w:tr>
      <w:tr w:rsidR="00C03146" w:rsidRPr="00063BC7" w:rsidTr="002F0EB1">
        <w:trPr>
          <w:trHeight w:val="1092"/>
          <w:jc w:val="center"/>
        </w:trPr>
        <w:tc>
          <w:tcPr>
            <w:tcW w:w="2905" w:type="dxa"/>
            <w:shd w:val="clear" w:color="auto" w:fill="EAF1DD" w:themeFill="accent3" w:themeFillTint="33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art. 15zzda Jednorazowa pożyczka na pokrycie bieżących kosztów prowadzenia działalności organizacji pozarządowej</w:t>
            </w:r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43</w:t>
            </w:r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38</w:t>
            </w:r>
          </w:p>
        </w:tc>
        <w:tc>
          <w:tcPr>
            <w:tcW w:w="1162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38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38</w:t>
            </w:r>
          </w:p>
        </w:tc>
      </w:tr>
      <w:tr w:rsidR="00C03146" w:rsidRPr="00063BC7" w:rsidTr="002F0EB1">
        <w:trPr>
          <w:trHeight w:val="850"/>
          <w:jc w:val="center"/>
        </w:trPr>
        <w:tc>
          <w:tcPr>
            <w:tcW w:w="2905" w:type="dxa"/>
            <w:shd w:val="clear" w:color="auto" w:fill="EAF1DD" w:themeFill="accent3" w:themeFillTint="33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art. 15zze Dofinansowanie organizacji pozarządowej części kosztów wynagrodzeń pracowników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:rsidR="00C03146" w:rsidRPr="00063BC7" w:rsidTr="002F0EB1">
        <w:trPr>
          <w:trHeight w:val="1021"/>
          <w:jc w:val="center"/>
        </w:trPr>
        <w:tc>
          <w:tcPr>
            <w:tcW w:w="2905" w:type="dxa"/>
            <w:shd w:val="clear" w:color="auto" w:fill="EAF1DD" w:themeFill="accent3" w:themeFillTint="33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art. 15zze2 Dofinansowanie kościelnej osobie prawnej części kosztów wynagrodzeń pracowników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C03146" w:rsidRPr="00063BC7" w:rsidTr="002F0EB1">
        <w:trPr>
          <w:trHeight w:val="1290"/>
          <w:jc w:val="center"/>
        </w:trPr>
        <w:tc>
          <w:tcPr>
            <w:tcW w:w="2905" w:type="dxa"/>
            <w:shd w:val="clear" w:color="auto" w:fill="EAF1DD" w:themeFill="accent3" w:themeFillTint="33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art. 15zze4 Jednorazowa dotacja na pokrycie bieżących kosztów prowadzenia działalności gospodarczej </w:t>
            </w:r>
            <w:proofErr w:type="spellStart"/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mikroprzedsiębiorcy</w:t>
            </w:r>
            <w:proofErr w:type="spellEnd"/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C03146" w:rsidRPr="00150F6D" w:rsidRDefault="00C03146" w:rsidP="002F0E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i małego przedsiębiorcy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152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133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133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133</w:t>
            </w:r>
          </w:p>
        </w:tc>
      </w:tr>
      <w:tr w:rsidR="00C03146" w:rsidRPr="00063BC7" w:rsidTr="002F0EB1">
        <w:trPr>
          <w:trHeight w:val="1347"/>
          <w:jc w:val="center"/>
        </w:trPr>
        <w:tc>
          <w:tcPr>
            <w:tcW w:w="2905" w:type="dxa"/>
            <w:shd w:val="clear" w:color="auto" w:fill="EAF1DD" w:themeFill="accent3" w:themeFillTint="33"/>
            <w:vAlign w:val="center"/>
            <w:hideMark/>
          </w:tcPr>
          <w:p w:rsidR="00C03146" w:rsidRPr="00150F6D" w:rsidRDefault="00C03146" w:rsidP="002F0E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art. 15zze5 Jednorazowa dotacja na pokrycie bieżących kosztów prowadzenia działalności gospodarczej </w:t>
            </w:r>
            <w:proofErr w:type="spellStart"/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mikroprzedsiębiorcy</w:t>
            </w:r>
            <w:proofErr w:type="spellEnd"/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C03146" w:rsidRPr="00150F6D" w:rsidRDefault="00C03146" w:rsidP="002F0E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0F6D">
              <w:rPr>
                <w:rFonts w:ascii="Times New Roman" w:hAnsi="Times New Roman"/>
                <w:b/>
                <w:bCs/>
                <w:sz w:val="18"/>
                <w:szCs w:val="18"/>
              </w:rPr>
              <w:t>i małego przedsiębiorcy w określonych branżach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0EA3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62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61</w:t>
            </w:r>
          </w:p>
        </w:tc>
        <w:tc>
          <w:tcPr>
            <w:tcW w:w="1163" w:type="dxa"/>
            <w:shd w:val="clear" w:color="auto" w:fill="FFFFFF" w:themeFill="background1"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701</w:t>
            </w:r>
          </w:p>
        </w:tc>
        <w:tc>
          <w:tcPr>
            <w:tcW w:w="1162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701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center"/>
            <w:hideMark/>
          </w:tcPr>
          <w:p w:rsidR="00C03146" w:rsidRPr="00600EA3" w:rsidRDefault="00C03146" w:rsidP="002F0E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700</w:t>
            </w:r>
          </w:p>
        </w:tc>
      </w:tr>
    </w:tbl>
    <w:p w:rsidR="00776D06" w:rsidRDefault="00776D06" w:rsidP="00C0314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E12B0" w:rsidRDefault="001E12B0" w:rsidP="00C0314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E12B0" w:rsidRDefault="001E12B0" w:rsidP="00C0314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76D06" w:rsidRDefault="00776D06" w:rsidP="00C0314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03146" w:rsidRDefault="00C03146" w:rsidP="00C0314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E12B0" w:rsidRDefault="001E12B0" w:rsidP="00C0314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E12B0" w:rsidRDefault="001E12B0" w:rsidP="00C0314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E12B0" w:rsidRDefault="001E12B0" w:rsidP="00C0314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91340" w:rsidRDefault="00191340" w:rsidP="008C61B0">
      <w:pPr>
        <w:spacing w:line="240" w:lineRule="auto"/>
        <w:jc w:val="both"/>
        <w:rPr>
          <w:rFonts w:ascii="Times New Roman" w:hAnsi="Times New Roman"/>
          <w:iCs/>
        </w:rPr>
      </w:pPr>
    </w:p>
    <w:p w:rsidR="00A81D7D" w:rsidRPr="00386D5D" w:rsidRDefault="00A81D7D" w:rsidP="00A81D7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86D5D">
        <w:rPr>
          <w:rFonts w:ascii="Times New Roman" w:hAnsi="Times New Roman"/>
          <w:sz w:val="16"/>
          <w:szCs w:val="16"/>
        </w:rPr>
        <w:t>Sporządziła: Lucyna Czerwoniec</w:t>
      </w:r>
    </w:p>
    <w:p w:rsidR="00A81D7D" w:rsidRPr="00386D5D" w:rsidRDefault="00C74DCA" w:rsidP="00A81D7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23</w:t>
      </w:r>
      <w:r w:rsidR="00A81D7D" w:rsidRPr="00386D5D">
        <w:rPr>
          <w:rFonts w:ascii="Times New Roman" w:hAnsi="Times New Roman"/>
          <w:sz w:val="16"/>
          <w:szCs w:val="16"/>
        </w:rPr>
        <w:t>.0</w:t>
      </w:r>
      <w:r w:rsidR="007D0E6A">
        <w:rPr>
          <w:rFonts w:ascii="Times New Roman" w:hAnsi="Times New Roman"/>
          <w:sz w:val="16"/>
          <w:szCs w:val="16"/>
        </w:rPr>
        <w:t>4</w:t>
      </w:r>
      <w:r w:rsidR="00A81D7D" w:rsidRPr="00386D5D">
        <w:rPr>
          <w:rFonts w:ascii="Times New Roman" w:hAnsi="Times New Roman"/>
          <w:sz w:val="16"/>
          <w:szCs w:val="16"/>
        </w:rPr>
        <w:t>.202</w:t>
      </w:r>
      <w:r>
        <w:rPr>
          <w:rFonts w:ascii="Times New Roman" w:hAnsi="Times New Roman"/>
          <w:sz w:val="16"/>
          <w:szCs w:val="16"/>
        </w:rPr>
        <w:t>5</w:t>
      </w:r>
    </w:p>
    <w:p w:rsidR="00A81D7D" w:rsidRPr="00386D5D" w:rsidRDefault="00A81D7D" w:rsidP="00A81D7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86D5D">
        <w:rPr>
          <w:rFonts w:ascii="Times New Roman" w:hAnsi="Times New Roman"/>
          <w:sz w:val="16"/>
          <w:szCs w:val="16"/>
        </w:rPr>
        <w:t>W opracowaniu wykorzystano dane ze sprawozdań</w:t>
      </w:r>
      <w:r w:rsidR="004D3FAE" w:rsidRPr="00386D5D">
        <w:rPr>
          <w:rFonts w:ascii="Times New Roman" w:hAnsi="Times New Roman"/>
          <w:sz w:val="16"/>
          <w:szCs w:val="16"/>
        </w:rPr>
        <w:t xml:space="preserve"> statystycznych</w:t>
      </w:r>
      <w:r w:rsidRPr="00386D5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386D5D">
        <w:rPr>
          <w:rFonts w:ascii="Times New Roman" w:hAnsi="Times New Roman"/>
          <w:sz w:val="16"/>
          <w:szCs w:val="16"/>
        </w:rPr>
        <w:t>MRPiPS</w:t>
      </w:r>
      <w:proofErr w:type="spellEnd"/>
      <w:r w:rsidRPr="00386D5D">
        <w:rPr>
          <w:rFonts w:ascii="Times New Roman" w:hAnsi="Times New Roman"/>
          <w:sz w:val="16"/>
          <w:szCs w:val="16"/>
        </w:rPr>
        <w:t>,</w:t>
      </w:r>
      <w:r w:rsidR="004D3FAE" w:rsidRPr="00386D5D">
        <w:rPr>
          <w:rFonts w:ascii="Times New Roman" w:hAnsi="Times New Roman"/>
          <w:sz w:val="16"/>
          <w:szCs w:val="16"/>
        </w:rPr>
        <w:t xml:space="preserve"> </w:t>
      </w:r>
      <w:r w:rsidRPr="00386D5D">
        <w:rPr>
          <w:rFonts w:ascii="Times New Roman" w:hAnsi="Times New Roman"/>
          <w:sz w:val="16"/>
          <w:szCs w:val="16"/>
        </w:rPr>
        <w:t xml:space="preserve">systemu </w:t>
      </w:r>
      <w:proofErr w:type="spellStart"/>
      <w:r w:rsidRPr="00386D5D">
        <w:rPr>
          <w:rFonts w:ascii="Times New Roman" w:hAnsi="Times New Roman"/>
          <w:sz w:val="16"/>
          <w:szCs w:val="16"/>
        </w:rPr>
        <w:t>SyriuszStd</w:t>
      </w:r>
      <w:proofErr w:type="spellEnd"/>
      <w:r w:rsidRPr="00386D5D">
        <w:rPr>
          <w:rFonts w:ascii="Times New Roman" w:hAnsi="Times New Roman"/>
          <w:sz w:val="16"/>
          <w:szCs w:val="16"/>
        </w:rPr>
        <w:t xml:space="preserve"> oraz informacje ze stanowisk merytorycznych</w:t>
      </w:r>
      <w:r w:rsidR="00890D56" w:rsidRPr="00386D5D">
        <w:rPr>
          <w:rFonts w:ascii="Times New Roman" w:hAnsi="Times New Roman"/>
          <w:sz w:val="16"/>
          <w:szCs w:val="16"/>
        </w:rPr>
        <w:t>.</w:t>
      </w:r>
    </w:p>
    <w:sectPr w:rsidR="00A81D7D" w:rsidRPr="00386D5D" w:rsidSect="006C35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5BE" w:rsidRDefault="001E55BE" w:rsidP="004A3332">
      <w:pPr>
        <w:spacing w:after="0" w:line="240" w:lineRule="auto"/>
      </w:pPr>
      <w:r>
        <w:separator/>
      </w:r>
    </w:p>
  </w:endnote>
  <w:endnote w:type="continuationSeparator" w:id="0">
    <w:p w:rsidR="001E55BE" w:rsidRDefault="001E55BE" w:rsidP="004A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9672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11485" w:rsidRDefault="00711485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4E7976" w:rsidRPr="004E7976">
            <w:rPr>
              <w:b/>
              <w:noProof/>
            </w:rPr>
            <w:t>2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711485" w:rsidRDefault="00711485" w:rsidP="008C61B0">
    <w:pPr>
      <w:pStyle w:val="Stopka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5BE" w:rsidRDefault="001E55BE" w:rsidP="004A3332">
      <w:pPr>
        <w:spacing w:after="0" w:line="240" w:lineRule="auto"/>
      </w:pPr>
      <w:r>
        <w:separator/>
      </w:r>
    </w:p>
  </w:footnote>
  <w:footnote w:type="continuationSeparator" w:id="0">
    <w:p w:rsidR="001E55BE" w:rsidRDefault="001E55BE" w:rsidP="004A3332">
      <w:pPr>
        <w:spacing w:after="0" w:line="240" w:lineRule="auto"/>
      </w:pPr>
      <w:r>
        <w:continuationSeparator/>
      </w:r>
    </w:p>
  </w:footnote>
  <w:footnote w:id="1">
    <w:p w:rsidR="00205E69" w:rsidRDefault="00205E69" w:rsidP="00205E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53A52">
        <w:t xml:space="preserve">Ustawa z dnia 12 marca 2022 r. o pomocy obywatelom Ukrainy w związku z konfliktem zbrojnym na terytorium tego państwa ( </w:t>
      </w:r>
      <w:proofErr w:type="spellStart"/>
      <w:r w:rsidRPr="00353A52">
        <w:t>Dz.U</w:t>
      </w:r>
      <w:proofErr w:type="spellEnd"/>
      <w:r w:rsidRPr="00353A52">
        <w:t>. z 2022 r., poz. 583 ze zm.)</w:t>
      </w:r>
    </w:p>
  </w:footnote>
  <w:footnote w:id="2">
    <w:p w:rsidR="00711485" w:rsidRDefault="00711485" w:rsidP="00776D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</w:t>
      </w:r>
      <w:r w:rsidRPr="00C74DCA">
        <w:rPr>
          <w:sz w:val="18"/>
          <w:szCs w:val="18"/>
        </w:rPr>
        <w:t>z dnia 31 marca 2020 r. o zmianie ustawy o szczególnych rozwiązaniach związanych z zapobieganiem, przeciwdziałaniem i zwalczaniem COVID-19, innych chorób zakaźnych oraz wywołanych nimi sytuacji kryzysowych oraz niektórych innych ustaw (Dz. U. z 2020 r. poz. 568)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4941"/>
    <w:multiLevelType w:val="multilevel"/>
    <w:tmpl w:val="FEC68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70C4E7B"/>
    <w:multiLevelType w:val="hybridMultilevel"/>
    <w:tmpl w:val="F9C0BB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26D2F"/>
    <w:multiLevelType w:val="multilevel"/>
    <w:tmpl w:val="522CF5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20E064F1"/>
    <w:multiLevelType w:val="hybridMultilevel"/>
    <w:tmpl w:val="AB10F46C"/>
    <w:lvl w:ilvl="0" w:tplc="24DEB5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6545"/>
    <w:multiLevelType w:val="hybridMultilevel"/>
    <w:tmpl w:val="F4D88F9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22DAC"/>
    <w:multiLevelType w:val="hybridMultilevel"/>
    <w:tmpl w:val="29E0D6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2C753D"/>
    <w:multiLevelType w:val="hybridMultilevel"/>
    <w:tmpl w:val="E99454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4687A"/>
    <w:multiLevelType w:val="hybridMultilevel"/>
    <w:tmpl w:val="D85E45C2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55A9A"/>
    <w:multiLevelType w:val="hybridMultilevel"/>
    <w:tmpl w:val="44EA5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B27EA"/>
    <w:multiLevelType w:val="hybridMultilevel"/>
    <w:tmpl w:val="7B481038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0">
    <w:nsid w:val="3DA65800"/>
    <w:multiLevelType w:val="hybridMultilevel"/>
    <w:tmpl w:val="6D1EB5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D46A12"/>
    <w:multiLevelType w:val="multilevel"/>
    <w:tmpl w:val="F7508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546263"/>
    <w:multiLevelType w:val="multilevel"/>
    <w:tmpl w:val="6E12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0350D"/>
    <w:multiLevelType w:val="hybridMultilevel"/>
    <w:tmpl w:val="D026C7D8"/>
    <w:lvl w:ilvl="0" w:tplc="078259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E026498"/>
    <w:multiLevelType w:val="multilevel"/>
    <w:tmpl w:val="522CF5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>
    <w:nsid w:val="50952DE0"/>
    <w:multiLevelType w:val="hybridMultilevel"/>
    <w:tmpl w:val="BF18AB8A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5C6D74"/>
    <w:multiLevelType w:val="hybridMultilevel"/>
    <w:tmpl w:val="8F10C69C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5E41E3"/>
    <w:multiLevelType w:val="hybridMultilevel"/>
    <w:tmpl w:val="66F2D5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A2580F"/>
    <w:multiLevelType w:val="hybridMultilevel"/>
    <w:tmpl w:val="537E93C8"/>
    <w:lvl w:ilvl="0" w:tplc="B65C8B3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C9F6F07"/>
    <w:multiLevelType w:val="hybridMultilevel"/>
    <w:tmpl w:val="6FDE2CA6"/>
    <w:lvl w:ilvl="0" w:tplc="3FB428A4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0C3474"/>
    <w:multiLevelType w:val="hybridMultilevel"/>
    <w:tmpl w:val="8DA45B5C"/>
    <w:lvl w:ilvl="0" w:tplc="843EDC7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F990E1D"/>
    <w:multiLevelType w:val="hybridMultilevel"/>
    <w:tmpl w:val="7062CB5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ED72B3"/>
    <w:multiLevelType w:val="hybridMultilevel"/>
    <w:tmpl w:val="0FFEF3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81E63"/>
    <w:multiLevelType w:val="hybridMultilevel"/>
    <w:tmpl w:val="C8808D1C"/>
    <w:lvl w:ilvl="0" w:tplc="167CDDD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15942"/>
    <w:multiLevelType w:val="hybridMultilevel"/>
    <w:tmpl w:val="20C46248"/>
    <w:lvl w:ilvl="0" w:tplc="E5C66E7C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3"/>
  </w:num>
  <w:num w:numId="3">
    <w:abstractNumId w:val="20"/>
  </w:num>
  <w:num w:numId="4">
    <w:abstractNumId w:val="3"/>
  </w:num>
  <w:num w:numId="5">
    <w:abstractNumId w:val="7"/>
  </w:num>
  <w:num w:numId="6">
    <w:abstractNumId w:val="0"/>
  </w:num>
  <w:num w:numId="7">
    <w:abstractNumId w:val="12"/>
  </w:num>
  <w:num w:numId="8">
    <w:abstractNumId w:val="11"/>
    <w:lvlOverride w:ilvl="0">
      <w:startOverride w:val="3"/>
    </w:lvlOverride>
  </w:num>
  <w:num w:numId="9">
    <w:abstractNumId w:val="11"/>
    <w:lvlOverride w:ilvl="0">
      <w:startOverride w:val="4"/>
    </w:lvlOverride>
  </w:num>
  <w:num w:numId="10">
    <w:abstractNumId w:val="11"/>
    <w:lvlOverride w:ilvl="0">
      <w:startOverride w:val="5"/>
    </w:lvlOverride>
  </w:num>
  <w:num w:numId="11">
    <w:abstractNumId w:val="11"/>
    <w:lvlOverride w:ilvl="0">
      <w:startOverride w:val="6"/>
    </w:lvlOverride>
  </w:num>
  <w:num w:numId="12">
    <w:abstractNumId w:val="11"/>
    <w:lvlOverride w:ilvl="0">
      <w:startOverride w:val="7"/>
    </w:lvlOverride>
  </w:num>
  <w:num w:numId="13">
    <w:abstractNumId w:val="11"/>
    <w:lvlOverride w:ilvl="0">
      <w:startOverride w:val="8"/>
    </w:lvlOverride>
  </w:num>
  <w:num w:numId="14">
    <w:abstractNumId w:val="11"/>
    <w:lvlOverride w:ilvl="0">
      <w:startOverride w:val="9"/>
    </w:lvlOverride>
  </w:num>
  <w:num w:numId="15">
    <w:abstractNumId w:val="11"/>
    <w:lvlOverride w:ilvl="0">
      <w:startOverride w:val="10"/>
    </w:lvlOverride>
  </w:num>
  <w:num w:numId="16">
    <w:abstractNumId w:val="11"/>
    <w:lvlOverride w:ilvl="0">
      <w:startOverride w:val="11"/>
    </w:lvlOverride>
  </w:num>
  <w:num w:numId="17">
    <w:abstractNumId w:val="21"/>
  </w:num>
  <w:num w:numId="18">
    <w:abstractNumId w:val="4"/>
  </w:num>
  <w:num w:numId="19">
    <w:abstractNumId w:val="16"/>
  </w:num>
  <w:num w:numId="20">
    <w:abstractNumId w:val="15"/>
  </w:num>
  <w:num w:numId="21">
    <w:abstractNumId w:val="8"/>
  </w:num>
  <w:num w:numId="22">
    <w:abstractNumId w:val="6"/>
  </w:num>
  <w:num w:numId="23">
    <w:abstractNumId w:val="22"/>
  </w:num>
  <w:num w:numId="24">
    <w:abstractNumId w:val="1"/>
  </w:num>
  <w:num w:numId="25">
    <w:abstractNumId w:val="17"/>
  </w:num>
  <w:num w:numId="26">
    <w:abstractNumId w:val="14"/>
  </w:num>
  <w:num w:numId="27">
    <w:abstractNumId w:val="9"/>
  </w:num>
  <w:num w:numId="28">
    <w:abstractNumId w:val="5"/>
  </w:num>
  <w:num w:numId="29">
    <w:abstractNumId w:val="18"/>
  </w:num>
  <w:num w:numId="30">
    <w:abstractNumId w:val="24"/>
  </w:num>
  <w:num w:numId="31">
    <w:abstractNumId w:val="19"/>
  </w:num>
  <w:num w:numId="32">
    <w:abstractNumId w:val="10"/>
  </w:num>
  <w:num w:numId="33">
    <w:abstractNumId w:val="2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9010" style="mso-position-vertical:top;mso-position-vertical-relative:page;mso-height-percent:1000" fillcolor="none [2404]" strokecolor="none [1940]">
      <v:fill color="none [2404]" rotate="t"/>
      <v:stroke color="none [1940]" weight="10pt" linestyle="thinThin"/>
      <v:shadow color="#868686"/>
      <o:colormenu v:ext="edit" fillcolor="none [1607]"/>
    </o:shapedefaults>
  </w:hdrShapeDefaults>
  <w:footnotePr>
    <w:footnote w:id="-1"/>
    <w:footnote w:id="0"/>
  </w:footnotePr>
  <w:endnotePr>
    <w:endnote w:id="-1"/>
    <w:endnote w:id="0"/>
  </w:endnotePr>
  <w:compat/>
  <w:rsids>
    <w:rsidRoot w:val="009C1E46"/>
    <w:rsid w:val="000021D1"/>
    <w:rsid w:val="0000357D"/>
    <w:rsid w:val="00004614"/>
    <w:rsid w:val="00004E73"/>
    <w:rsid w:val="00005C7A"/>
    <w:rsid w:val="0000613A"/>
    <w:rsid w:val="00007334"/>
    <w:rsid w:val="0001201A"/>
    <w:rsid w:val="00013160"/>
    <w:rsid w:val="0001366C"/>
    <w:rsid w:val="00013C2E"/>
    <w:rsid w:val="0002110F"/>
    <w:rsid w:val="00022F9D"/>
    <w:rsid w:val="00023984"/>
    <w:rsid w:val="0002563B"/>
    <w:rsid w:val="000262BB"/>
    <w:rsid w:val="00027421"/>
    <w:rsid w:val="00027785"/>
    <w:rsid w:val="00034359"/>
    <w:rsid w:val="0004195F"/>
    <w:rsid w:val="000444A2"/>
    <w:rsid w:val="00050556"/>
    <w:rsid w:val="00051B00"/>
    <w:rsid w:val="00061728"/>
    <w:rsid w:val="000623FD"/>
    <w:rsid w:val="00062B8D"/>
    <w:rsid w:val="00065C9B"/>
    <w:rsid w:val="000719F6"/>
    <w:rsid w:val="00071C2C"/>
    <w:rsid w:val="00071D82"/>
    <w:rsid w:val="000738F8"/>
    <w:rsid w:val="000741CA"/>
    <w:rsid w:val="00074E85"/>
    <w:rsid w:val="00075888"/>
    <w:rsid w:val="00075B3D"/>
    <w:rsid w:val="0008055F"/>
    <w:rsid w:val="00084055"/>
    <w:rsid w:val="0008734B"/>
    <w:rsid w:val="00090146"/>
    <w:rsid w:val="00094903"/>
    <w:rsid w:val="00094E7E"/>
    <w:rsid w:val="000A1502"/>
    <w:rsid w:val="000A1A02"/>
    <w:rsid w:val="000A1D38"/>
    <w:rsid w:val="000A3724"/>
    <w:rsid w:val="000A424E"/>
    <w:rsid w:val="000A47D2"/>
    <w:rsid w:val="000A5280"/>
    <w:rsid w:val="000A6B55"/>
    <w:rsid w:val="000A777F"/>
    <w:rsid w:val="000B05E5"/>
    <w:rsid w:val="000C4A38"/>
    <w:rsid w:val="000C4DCC"/>
    <w:rsid w:val="000C575C"/>
    <w:rsid w:val="000C69BF"/>
    <w:rsid w:val="000D2B1C"/>
    <w:rsid w:val="000D6E83"/>
    <w:rsid w:val="000D714B"/>
    <w:rsid w:val="000E2B18"/>
    <w:rsid w:val="000E35E5"/>
    <w:rsid w:val="000F2624"/>
    <w:rsid w:val="000F283F"/>
    <w:rsid w:val="000F2D34"/>
    <w:rsid w:val="000F36B1"/>
    <w:rsid w:val="000F5026"/>
    <w:rsid w:val="000F63BE"/>
    <w:rsid w:val="000F6486"/>
    <w:rsid w:val="000F6CB8"/>
    <w:rsid w:val="000F70C4"/>
    <w:rsid w:val="00101756"/>
    <w:rsid w:val="001031B3"/>
    <w:rsid w:val="00107AC5"/>
    <w:rsid w:val="00112C81"/>
    <w:rsid w:val="00114845"/>
    <w:rsid w:val="00117044"/>
    <w:rsid w:val="00117222"/>
    <w:rsid w:val="00117EED"/>
    <w:rsid w:val="00125299"/>
    <w:rsid w:val="00125550"/>
    <w:rsid w:val="00126E87"/>
    <w:rsid w:val="001311AD"/>
    <w:rsid w:val="00132B6B"/>
    <w:rsid w:val="00133061"/>
    <w:rsid w:val="00135259"/>
    <w:rsid w:val="00135678"/>
    <w:rsid w:val="00135FCD"/>
    <w:rsid w:val="001363A0"/>
    <w:rsid w:val="00137503"/>
    <w:rsid w:val="00137DC8"/>
    <w:rsid w:val="0014060F"/>
    <w:rsid w:val="00144C1C"/>
    <w:rsid w:val="001473A9"/>
    <w:rsid w:val="00150F74"/>
    <w:rsid w:val="0015338D"/>
    <w:rsid w:val="00160343"/>
    <w:rsid w:val="00161831"/>
    <w:rsid w:val="00163F2B"/>
    <w:rsid w:val="0016521D"/>
    <w:rsid w:val="00167545"/>
    <w:rsid w:val="00167870"/>
    <w:rsid w:val="00174570"/>
    <w:rsid w:val="00175792"/>
    <w:rsid w:val="00177981"/>
    <w:rsid w:val="00181D23"/>
    <w:rsid w:val="001823C3"/>
    <w:rsid w:val="00182BCF"/>
    <w:rsid w:val="00183E7F"/>
    <w:rsid w:val="00190DB1"/>
    <w:rsid w:val="00191340"/>
    <w:rsid w:val="00193195"/>
    <w:rsid w:val="001934AA"/>
    <w:rsid w:val="001938AA"/>
    <w:rsid w:val="00195135"/>
    <w:rsid w:val="0019538A"/>
    <w:rsid w:val="001959BB"/>
    <w:rsid w:val="00196EF0"/>
    <w:rsid w:val="001A0D47"/>
    <w:rsid w:val="001A1ACC"/>
    <w:rsid w:val="001A56F0"/>
    <w:rsid w:val="001B0D20"/>
    <w:rsid w:val="001B0EE8"/>
    <w:rsid w:val="001B481D"/>
    <w:rsid w:val="001B6D1C"/>
    <w:rsid w:val="001B6EDD"/>
    <w:rsid w:val="001C2694"/>
    <w:rsid w:val="001C3541"/>
    <w:rsid w:val="001C375B"/>
    <w:rsid w:val="001C5733"/>
    <w:rsid w:val="001D0B3E"/>
    <w:rsid w:val="001D1BC5"/>
    <w:rsid w:val="001D3739"/>
    <w:rsid w:val="001E12B0"/>
    <w:rsid w:val="001E39B1"/>
    <w:rsid w:val="001E3FDB"/>
    <w:rsid w:val="001E55BE"/>
    <w:rsid w:val="001E66B4"/>
    <w:rsid w:val="001E72E6"/>
    <w:rsid w:val="001F1608"/>
    <w:rsid w:val="001F17FE"/>
    <w:rsid w:val="001F18FC"/>
    <w:rsid w:val="001F338E"/>
    <w:rsid w:val="001F65FB"/>
    <w:rsid w:val="00203DFD"/>
    <w:rsid w:val="00204770"/>
    <w:rsid w:val="00205E69"/>
    <w:rsid w:val="00206157"/>
    <w:rsid w:val="0021235F"/>
    <w:rsid w:val="00214BF2"/>
    <w:rsid w:val="002166F7"/>
    <w:rsid w:val="00223FBE"/>
    <w:rsid w:val="00224787"/>
    <w:rsid w:val="00225795"/>
    <w:rsid w:val="002268C6"/>
    <w:rsid w:val="0023019B"/>
    <w:rsid w:val="002337EE"/>
    <w:rsid w:val="002349D2"/>
    <w:rsid w:val="002350EB"/>
    <w:rsid w:val="00236676"/>
    <w:rsid w:val="00241673"/>
    <w:rsid w:val="00243315"/>
    <w:rsid w:val="00245A6A"/>
    <w:rsid w:val="00247E9B"/>
    <w:rsid w:val="002504B8"/>
    <w:rsid w:val="00252ACF"/>
    <w:rsid w:val="00252CC6"/>
    <w:rsid w:val="00254337"/>
    <w:rsid w:val="00255969"/>
    <w:rsid w:val="00256822"/>
    <w:rsid w:val="00257180"/>
    <w:rsid w:val="002576AA"/>
    <w:rsid w:val="002611E7"/>
    <w:rsid w:val="00267259"/>
    <w:rsid w:val="002703CB"/>
    <w:rsid w:val="00270F3D"/>
    <w:rsid w:val="00277CB5"/>
    <w:rsid w:val="00280457"/>
    <w:rsid w:val="002804CF"/>
    <w:rsid w:val="00281CD0"/>
    <w:rsid w:val="0028291F"/>
    <w:rsid w:val="00285D99"/>
    <w:rsid w:val="00285E8F"/>
    <w:rsid w:val="0028669F"/>
    <w:rsid w:val="002879D6"/>
    <w:rsid w:val="002908FA"/>
    <w:rsid w:val="00293D2B"/>
    <w:rsid w:val="0029596A"/>
    <w:rsid w:val="002A118B"/>
    <w:rsid w:val="002A1B6C"/>
    <w:rsid w:val="002A1D06"/>
    <w:rsid w:val="002A21D1"/>
    <w:rsid w:val="002A2B09"/>
    <w:rsid w:val="002A4C70"/>
    <w:rsid w:val="002A51D4"/>
    <w:rsid w:val="002A648D"/>
    <w:rsid w:val="002B17E4"/>
    <w:rsid w:val="002B1D91"/>
    <w:rsid w:val="002B2EFD"/>
    <w:rsid w:val="002B580A"/>
    <w:rsid w:val="002B5F06"/>
    <w:rsid w:val="002B645B"/>
    <w:rsid w:val="002B7ABF"/>
    <w:rsid w:val="002C6D51"/>
    <w:rsid w:val="002C6F57"/>
    <w:rsid w:val="002C7F69"/>
    <w:rsid w:val="002D05DD"/>
    <w:rsid w:val="002D0993"/>
    <w:rsid w:val="002D3670"/>
    <w:rsid w:val="002D5129"/>
    <w:rsid w:val="002D57F7"/>
    <w:rsid w:val="002E07AB"/>
    <w:rsid w:val="002E41E6"/>
    <w:rsid w:val="002F0EB1"/>
    <w:rsid w:val="002F27FD"/>
    <w:rsid w:val="002F5658"/>
    <w:rsid w:val="002F75ED"/>
    <w:rsid w:val="00311CE8"/>
    <w:rsid w:val="003121FC"/>
    <w:rsid w:val="0031517C"/>
    <w:rsid w:val="00316CE6"/>
    <w:rsid w:val="00321108"/>
    <w:rsid w:val="00330F33"/>
    <w:rsid w:val="00332186"/>
    <w:rsid w:val="003330EC"/>
    <w:rsid w:val="00333E52"/>
    <w:rsid w:val="00334215"/>
    <w:rsid w:val="00334BD6"/>
    <w:rsid w:val="00336D37"/>
    <w:rsid w:val="003376C3"/>
    <w:rsid w:val="0034149D"/>
    <w:rsid w:val="00341CE1"/>
    <w:rsid w:val="0034580E"/>
    <w:rsid w:val="003462E1"/>
    <w:rsid w:val="0034648F"/>
    <w:rsid w:val="00351E31"/>
    <w:rsid w:val="00352302"/>
    <w:rsid w:val="00352A85"/>
    <w:rsid w:val="003531B2"/>
    <w:rsid w:val="003542BF"/>
    <w:rsid w:val="00360F8B"/>
    <w:rsid w:val="003679DA"/>
    <w:rsid w:val="003679FD"/>
    <w:rsid w:val="00367B1E"/>
    <w:rsid w:val="00370BF2"/>
    <w:rsid w:val="0037125E"/>
    <w:rsid w:val="00372DBA"/>
    <w:rsid w:val="0037341E"/>
    <w:rsid w:val="00376625"/>
    <w:rsid w:val="00376A02"/>
    <w:rsid w:val="00383E84"/>
    <w:rsid w:val="003855B3"/>
    <w:rsid w:val="003858B4"/>
    <w:rsid w:val="00386D5D"/>
    <w:rsid w:val="00395D7E"/>
    <w:rsid w:val="00396445"/>
    <w:rsid w:val="003A07A6"/>
    <w:rsid w:val="003A3A7F"/>
    <w:rsid w:val="003A7701"/>
    <w:rsid w:val="003B0B89"/>
    <w:rsid w:val="003B5956"/>
    <w:rsid w:val="003B6007"/>
    <w:rsid w:val="003B711A"/>
    <w:rsid w:val="003C2DA8"/>
    <w:rsid w:val="003C3935"/>
    <w:rsid w:val="003C3964"/>
    <w:rsid w:val="003C3C4B"/>
    <w:rsid w:val="003C4B23"/>
    <w:rsid w:val="003C4C07"/>
    <w:rsid w:val="003C640D"/>
    <w:rsid w:val="003C66B7"/>
    <w:rsid w:val="003C6C2D"/>
    <w:rsid w:val="003C6DB6"/>
    <w:rsid w:val="003C7460"/>
    <w:rsid w:val="003D19A7"/>
    <w:rsid w:val="003D19B3"/>
    <w:rsid w:val="003D7210"/>
    <w:rsid w:val="003E3849"/>
    <w:rsid w:val="003E5AD8"/>
    <w:rsid w:val="003E7DA7"/>
    <w:rsid w:val="003F117E"/>
    <w:rsid w:val="003F16CF"/>
    <w:rsid w:val="003F18DC"/>
    <w:rsid w:val="003F27B7"/>
    <w:rsid w:val="003F2E96"/>
    <w:rsid w:val="003F3553"/>
    <w:rsid w:val="003F55D3"/>
    <w:rsid w:val="003F57B1"/>
    <w:rsid w:val="003F711E"/>
    <w:rsid w:val="003F78A1"/>
    <w:rsid w:val="004019BA"/>
    <w:rsid w:val="00404ADC"/>
    <w:rsid w:val="00407926"/>
    <w:rsid w:val="00410964"/>
    <w:rsid w:val="00411693"/>
    <w:rsid w:val="00411EF7"/>
    <w:rsid w:val="00416386"/>
    <w:rsid w:val="00416427"/>
    <w:rsid w:val="00421171"/>
    <w:rsid w:val="00423641"/>
    <w:rsid w:val="004263B1"/>
    <w:rsid w:val="0042798B"/>
    <w:rsid w:val="00437BBB"/>
    <w:rsid w:val="0044053B"/>
    <w:rsid w:val="00445B18"/>
    <w:rsid w:val="004475FB"/>
    <w:rsid w:val="004503AD"/>
    <w:rsid w:val="00451D87"/>
    <w:rsid w:val="004524F2"/>
    <w:rsid w:val="00453EE6"/>
    <w:rsid w:val="004566E4"/>
    <w:rsid w:val="00457668"/>
    <w:rsid w:val="00465DE3"/>
    <w:rsid w:val="00467C19"/>
    <w:rsid w:val="004740ED"/>
    <w:rsid w:val="00476206"/>
    <w:rsid w:val="004773D6"/>
    <w:rsid w:val="004805EF"/>
    <w:rsid w:val="00480784"/>
    <w:rsid w:val="00480CB0"/>
    <w:rsid w:val="00481750"/>
    <w:rsid w:val="00482571"/>
    <w:rsid w:val="00483E10"/>
    <w:rsid w:val="00485C6A"/>
    <w:rsid w:val="0049001C"/>
    <w:rsid w:val="00492ECE"/>
    <w:rsid w:val="00493AC1"/>
    <w:rsid w:val="00493E35"/>
    <w:rsid w:val="00494AE2"/>
    <w:rsid w:val="00497FDF"/>
    <w:rsid w:val="004A08B6"/>
    <w:rsid w:val="004A0A08"/>
    <w:rsid w:val="004A1BF4"/>
    <w:rsid w:val="004A3332"/>
    <w:rsid w:val="004A4E44"/>
    <w:rsid w:val="004A5300"/>
    <w:rsid w:val="004A56E5"/>
    <w:rsid w:val="004A7E5F"/>
    <w:rsid w:val="004B0457"/>
    <w:rsid w:val="004B07A8"/>
    <w:rsid w:val="004B0883"/>
    <w:rsid w:val="004B2724"/>
    <w:rsid w:val="004B2882"/>
    <w:rsid w:val="004B4322"/>
    <w:rsid w:val="004B4E99"/>
    <w:rsid w:val="004B5532"/>
    <w:rsid w:val="004B6D2A"/>
    <w:rsid w:val="004C060D"/>
    <w:rsid w:val="004C1E8D"/>
    <w:rsid w:val="004C34E5"/>
    <w:rsid w:val="004C5B5F"/>
    <w:rsid w:val="004D0BF2"/>
    <w:rsid w:val="004D3109"/>
    <w:rsid w:val="004D3F4F"/>
    <w:rsid w:val="004D3FAE"/>
    <w:rsid w:val="004E170B"/>
    <w:rsid w:val="004E1CB9"/>
    <w:rsid w:val="004E24D9"/>
    <w:rsid w:val="004E25F1"/>
    <w:rsid w:val="004E29AF"/>
    <w:rsid w:val="004E34AF"/>
    <w:rsid w:val="004E3C4B"/>
    <w:rsid w:val="004E7976"/>
    <w:rsid w:val="004F3AA3"/>
    <w:rsid w:val="004F469E"/>
    <w:rsid w:val="004F5027"/>
    <w:rsid w:val="004F5C43"/>
    <w:rsid w:val="004F6AFF"/>
    <w:rsid w:val="004F7B1A"/>
    <w:rsid w:val="00500074"/>
    <w:rsid w:val="0050029D"/>
    <w:rsid w:val="0050269F"/>
    <w:rsid w:val="005044CF"/>
    <w:rsid w:val="005049D7"/>
    <w:rsid w:val="00505FAA"/>
    <w:rsid w:val="00506B20"/>
    <w:rsid w:val="0051195B"/>
    <w:rsid w:val="00516F00"/>
    <w:rsid w:val="00520AFE"/>
    <w:rsid w:val="005236B5"/>
    <w:rsid w:val="00526F2D"/>
    <w:rsid w:val="00526F32"/>
    <w:rsid w:val="005274DE"/>
    <w:rsid w:val="005337A4"/>
    <w:rsid w:val="00540229"/>
    <w:rsid w:val="00540C0E"/>
    <w:rsid w:val="00541986"/>
    <w:rsid w:val="00542F94"/>
    <w:rsid w:val="00543CC3"/>
    <w:rsid w:val="00545187"/>
    <w:rsid w:val="00550633"/>
    <w:rsid w:val="005512D2"/>
    <w:rsid w:val="00551394"/>
    <w:rsid w:val="00551B91"/>
    <w:rsid w:val="00552C4A"/>
    <w:rsid w:val="00555335"/>
    <w:rsid w:val="0055554D"/>
    <w:rsid w:val="00555A2A"/>
    <w:rsid w:val="005562A9"/>
    <w:rsid w:val="00556494"/>
    <w:rsid w:val="00557893"/>
    <w:rsid w:val="00560A96"/>
    <w:rsid w:val="00561A50"/>
    <w:rsid w:val="005627B8"/>
    <w:rsid w:val="00562E57"/>
    <w:rsid w:val="00565F8C"/>
    <w:rsid w:val="00567326"/>
    <w:rsid w:val="00573E17"/>
    <w:rsid w:val="00575975"/>
    <w:rsid w:val="005763EE"/>
    <w:rsid w:val="005779D4"/>
    <w:rsid w:val="00577FBB"/>
    <w:rsid w:val="0058043E"/>
    <w:rsid w:val="00584E7F"/>
    <w:rsid w:val="00587BF9"/>
    <w:rsid w:val="00592E9D"/>
    <w:rsid w:val="00594949"/>
    <w:rsid w:val="0059495A"/>
    <w:rsid w:val="0059584E"/>
    <w:rsid w:val="00595BB2"/>
    <w:rsid w:val="00595F20"/>
    <w:rsid w:val="00596CA0"/>
    <w:rsid w:val="005A11B7"/>
    <w:rsid w:val="005A1AD8"/>
    <w:rsid w:val="005A2B5E"/>
    <w:rsid w:val="005A5720"/>
    <w:rsid w:val="005A5DF2"/>
    <w:rsid w:val="005A6403"/>
    <w:rsid w:val="005A647A"/>
    <w:rsid w:val="005B2E36"/>
    <w:rsid w:val="005B32E2"/>
    <w:rsid w:val="005B554F"/>
    <w:rsid w:val="005B63AB"/>
    <w:rsid w:val="005C08C5"/>
    <w:rsid w:val="005C1041"/>
    <w:rsid w:val="005C17D2"/>
    <w:rsid w:val="005C54CC"/>
    <w:rsid w:val="005C67E2"/>
    <w:rsid w:val="005D463A"/>
    <w:rsid w:val="005D5D36"/>
    <w:rsid w:val="005D7B0B"/>
    <w:rsid w:val="005E0021"/>
    <w:rsid w:val="005E0FC2"/>
    <w:rsid w:val="005E168E"/>
    <w:rsid w:val="005E1B31"/>
    <w:rsid w:val="005E4217"/>
    <w:rsid w:val="005E48A3"/>
    <w:rsid w:val="005E5C3D"/>
    <w:rsid w:val="005E62A1"/>
    <w:rsid w:val="005E7D2E"/>
    <w:rsid w:val="005E7D65"/>
    <w:rsid w:val="005F1167"/>
    <w:rsid w:val="005F424C"/>
    <w:rsid w:val="005F51B7"/>
    <w:rsid w:val="005F7E4C"/>
    <w:rsid w:val="0060279F"/>
    <w:rsid w:val="006034F4"/>
    <w:rsid w:val="00606136"/>
    <w:rsid w:val="00606695"/>
    <w:rsid w:val="00607568"/>
    <w:rsid w:val="006103DD"/>
    <w:rsid w:val="00613541"/>
    <w:rsid w:val="006163BA"/>
    <w:rsid w:val="00616714"/>
    <w:rsid w:val="00620ED3"/>
    <w:rsid w:val="006223E6"/>
    <w:rsid w:val="00624F27"/>
    <w:rsid w:val="00625F42"/>
    <w:rsid w:val="00626340"/>
    <w:rsid w:val="00630011"/>
    <w:rsid w:val="00630308"/>
    <w:rsid w:val="00630566"/>
    <w:rsid w:val="006332BD"/>
    <w:rsid w:val="0063361A"/>
    <w:rsid w:val="006357FB"/>
    <w:rsid w:val="00636479"/>
    <w:rsid w:val="0063792B"/>
    <w:rsid w:val="00643BF2"/>
    <w:rsid w:val="00644508"/>
    <w:rsid w:val="006455FC"/>
    <w:rsid w:val="006525C1"/>
    <w:rsid w:val="0065270F"/>
    <w:rsid w:val="00654567"/>
    <w:rsid w:val="0065756B"/>
    <w:rsid w:val="0066465D"/>
    <w:rsid w:val="00673383"/>
    <w:rsid w:val="006737EC"/>
    <w:rsid w:val="00675C3A"/>
    <w:rsid w:val="00677901"/>
    <w:rsid w:val="00680573"/>
    <w:rsid w:val="0068128E"/>
    <w:rsid w:val="00682289"/>
    <w:rsid w:val="006824E5"/>
    <w:rsid w:val="00682FCE"/>
    <w:rsid w:val="006847A5"/>
    <w:rsid w:val="00690752"/>
    <w:rsid w:val="00690B30"/>
    <w:rsid w:val="00691C36"/>
    <w:rsid w:val="006922E9"/>
    <w:rsid w:val="00692E7A"/>
    <w:rsid w:val="00693219"/>
    <w:rsid w:val="0069474F"/>
    <w:rsid w:val="00695BEE"/>
    <w:rsid w:val="006A5042"/>
    <w:rsid w:val="006A625B"/>
    <w:rsid w:val="006A6F6F"/>
    <w:rsid w:val="006B2092"/>
    <w:rsid w:val="006B304D"/>
    <w:rsid w:val="006B3CFC"/>
    <w:rsid w:val="006B4631"/>
    <w:rsid w:val="006B6F13"/>
    <w:rsid w:val="006B7249"/>
    <w:rsid w:val="006C1425"/>
    <w:rsid w:val="006C35A3"/>
    <w:rsid w:val="006C453F"/>
    <w:rsid w:val="006C5BB2"/>
    <w:rsid w:val="006D29C1"/>
    <w:rsid w:val="006D3155"/>
    <w:rsid w:val="006D6885"/>
    <w:rsid w:val="006E1287"/>
    <w:rsid w:val="006E1446"/>
    <w:rsid w:val="006F11BD"/>
    <w:rsid w:val="006F3DB4"/>
    <w:rsid w:val="006F5C02"/>
    <w:rsid w:val="006F5CE5"/>
    <w:rsid w:val="006F70D7"/>
    <w:rsid w:val="006F7589"/>
    <w:rsid w:val="006F7BC9"/>
    <w:rsid w:val="006F7D16"/>
    <w:rsid w:val="007001C8"/>
    <w:rsid w:val="00700217"/>
    <w:rsid w:val="0070085B"/>
    <w:rsid w:val="007008DF"/>
    <w:rsid w:val="0070178B"/>
    <w:rsid w:val="0070244F"/>
    <w:rsid w:val="00702F97"/>
    <w:rsid w:val="00704C43"/>
    <w:rsid w:val="0070526E"/>
    <w:rsid w:val="00706FF0"/>
    <w:rsid w:val="007112A6"/>
    <w:rsid w:val="00711485"/>
    <w:rsid w:val="0071259A"/>
    <w:rsid w:val="007202A2"/>
    <w:rsid w:val="0072141B"/>
    <w:rsid w:val="00721AEF"/>
    <w:rsid w:val="007225EA"/>
    <w:rsid w:val="00722CCE"/>
    <w:rsid w:val="0072325F"/>
    <w:rsid w:val="0072418B"/>
    <w:rsid w:val="0072571D"/>
    <w:rsid w:val="00725809"/>
    <w:rsid w:val="00732566"/>
    <w:rsid w:val="00732E41"/>
    <w:rsid w:val="00735092"/>
    <w:rsid w:val="00735F26"/>
    <w:rsid w:val="007407B0"/>
    <w:rsid w:val="00741B39"/>
    <w:rsid w:val="007433B6"/>
    <w:rsid w:val="0074484D"/>
    <w:rsid w:val="00745162"/>
    <w:rsid w:val="00745DBE"/>
    <w:rsid w:val="00747C9E"/>
    <w:rsid w:val="00750B60"/>
    <w:rsid w:val="00751786"/>
    <w:rsid w:val="00751CCB"/>
    <w:rsid w:val="007564BE"/>
    <w:rsid w:val="007564C6"/>
    <w:rsid w:val="0075705A"/>
    <w:rsid w:val="00760B6B"/>
    <w:rsid w:val="00762314"/>
    <w:rsid w:val="007626E7"/>
    <w:rsid w:val="00762947"/>
    <w:rsid w:val="00763644"/>
    <w:rsid w:val="00763B32"/>
    <w:rsid w:val="0077536F"/>
    <w:rsid w:val="00776A1F"/>
    <w:rsid w:val="00776D06"/>
    <w:rsid w:val="007820FB"/>
    <w:rsid w:val="007835C5"/>
    <w:rsid w:val="00783754"/>
    <w:rsid w:val="00783F23"/>
    <w:rsid w:val="00784943"/>
    <w:rsid w:val="00785F43"/>
    <w:rsid w:val="007860CA"/>
    <w:rsid w:val="007920FA"/>
    <w:rsid w:val="00793169"/>
    <w:rsid w:val="00795B84"/>
    <w:rsid w:val="007A10A7"/>
    <w:rsid w:val="007A3BA2"/>
    <w:rsid w:val="007A6DD8"/>
    <w:rsid w:val="007A7764"/>
    <w:rsid w:val="007B0E02"/>
    <w:rsid w:val="007B4F36"/>
    <w:rsid w:val="007B4FF3"/>
    <w:rsid w:val="007B5FE6"/>
    <w:rsid w:val="007B6963"/>
    <w:rsid w:val="007B774A"/>
    <w:rsid w:val="007B778C"/>
    <w:rsid w:val="007C2F3D"/>
    <w:rsid w:val="007C79D0"/>
    <w:rsid w:val="007C7EEA"/>
    <w:rsid w:val="007D0E6A"/>
    <w:rsid w:val="007D7727"/>
    <w:rsid w:val="007E2C76"/>
    <w:rsid w:val="007E37D4"/>
    <w:rsid w:val="007F293B"/>
    <w:rsid w:val="007F37DD"/>
    <w:rsid w:val="007F3ED6"/>
    <w:rsid w:val="007F42A7"/>
    <w:rsid w:val="007F48FF"/>
    <w:rsid w:val="007F615C"/>
    <w:rsid w:val="007F62E8"/>
    <w:rsid w:val="007F73ED"/>
    <w:rsid w:val="007F7DAF"/>
    <w:rsid w:val="008044AB"/>
    <w:rsid w:val="008051FD"/>
    <w:rsid w:val="00805FB1"/>
    <w:rsid w:val="0081392C"/>
    <w:rsid w:val="00815368"/>
    <w:rsid w:val="008173FC"/>
    <w:rsid w:val="008177B0"/>
    <w:rsid w:val="0082736A"/>
    <w:rsid w:val="008347F6"/>
    <w:rsid w:val="00835A09"/>
    <w:rsid w:val="008366D2"/>
    <w:rsid w:val="00837612"/>
    <w:rsid w:val="00837A4F"/>
    <w:rsid w:val="0084177E"/>
    <w:rsid w:val="00841AE1"/>
    <w:rsid w:val="00842B56"/>
    <w:rsid w:val="00843D20"/>
    <w:rsid w:val="0084533F"/>
    <w:rsid w:val="0084619B"/>
    <w:rsid w:val="00852F0D"/>
    <w:rsid w:val="0086089D"/>
    <w:rsid w:val="0086135D"/>
    <w:rsid w:val="00864AED"/>
    <w:rsid w:val="008650B0"/>
    <w:rsid w:val="0086518A"/>
    <w:rsid w:val="00866856"/>
    <w:rsid w:val="00866994"/>
    <w:rsid w:val="008731AE"/>
    <w:rsid w:val="00873D92"/>
    <w:rsid w:val="00880A41"/>
    <w:rsid w:val="008855D6"/>
    <w:rsid w:val="00885B1A"/>
    <w:rsid w:val="00890D56"/>
    <w:rsid w:val="00891691"/>
    <w:rsid w:val="00894DF8"/>
    <w:rsid w:val="00895F9D"/>
    <w:rsid w:val="008979AA"/>
    <w:rsid w:val="008A15AA"/>
    <w:rsid w:val="008A1D5B"/>
    <w:rsid w:val="008A71D1"/>
    <w:rsid w:val="008A7AB9"/>
    <w:rsid w:val="008B00CF"/>
    <w:rsid w:val="008B0AA7"/>
    <w:rsid w:val="008B1209"/>
    <w:rsid w:val="008B2A69"/>
    <w:rsid w:val="008B2DC3"/>
    <w:rsid w:val="008B3EC0"/>
    <w:rsid w:val="008B4E31"/>
    <w:rsid w:val="008B618B"/>
    <w:rsid w:val="008C00F1"/>
    <w:rsid w:val="008C1F89"/>
    <w:rsid w:val="008C61B0"/>
    <w:rsid w:val="008C6AA6"/>
    <w:rsid w:val="008C6EC2"/>
    <w:rsid w:val="008C77E2"/>
    <w:rsid w:val="008D0AC7"/>
    <w:rsid w:val="008D3C5B"/>
    <w:rsid w:val="008D43A9"/>
    <w:rsid w:val="008D4AF4"/>
    <w:rsid w:val="008D6761"/>
    <w:rsid w:val="008E04B2"/>
    <w:rsid w:val="008E2912"/>
    <w:rsid w:val="008E2C88"/>
    <w:rsid w:val="008E3473"/>
    <w:rsid w:val="008E3C03"/>
    <w:rsid w:val="008E703D"/>
    <w:rsid w:val="008E74B8"/>
    <w:rsid w:val="008F0CD7"/>
    <w:rsid w:val="008F13CD"/>
    <w:rsid w:val="008F1E1B"/>
    <w:rsid w:val="008F1E57"/>
    <w:rsid w:val="008F3ACB"/>
    <w:rsid w:val="008F5E94"/>
    <w:rsid w:val="008F7B90"/>
    <w:rsid w:val="009014AD"/>
    <w:rsid w:val="00904DDF"/>
    <w:rsid w:val="00905E96"/>
    <w:rsid w:val="00910F20"/>
    <w:rsid w:val="009151FD"/>
    <w:rsid w:val="00915837"/>
    <w:rsid w:val="009173E9"/>
    <w:rsid w:val="00920F12"/>
    <w:rsid w:val="00922636"/>
    <w:rsid w:val="00926D8F"/>
    <w:rsid w:val="0092731E"/>
    <w:rsid w:val="00933005"/>
    <w:rsid w:val="00937A25"/>
    <w:rsid w:val="009403A3"/>
    <w:rsid w:val="009435A6"/>
    <w:rsid w:val="009446A8"/>
    <w:rsid w:val="00946740"/>
    <w:rsid w:val="00952461"/>
    <w:rsid w:val="00954E86"/>
    <w:rsid w:val="009551FC"/>
    <w:rsid w:val="00957DDD"/>
    <w:rsid w:val="00960421"/>
    <w:rsid w:val="00966417"/>
    <w:rsid w:val="00967364"/>
    <w:rsid w:val="009710F5"/>
    <w:rsid w:val="009714CF"/>
    <w:rsid w:val="00971FD7"/>
    <w:rsid w:val="0097281C"/>
    <w:rsid w:val="00972CD1"/>
    <w:rsid w:val="0097638D"/>
    <w:rsid w:val="00977D73"/>
    <w:rsid w:val="00980A58"/>
    <w:rsid w:val="00982BCE"/>
    <w:rsid w:val="00983139"/>
    <w:rsid w:val="009858B5"/>
    <w:rsid w:val="0098634A"/>
    <w:rsid w:val="0099248D"/>
    <w:rsid w:val="0099287C"/>
    <w:rsid w:val="00992A4A"/>
    <w:rsid w:val="00993C4D"/>
    <w:rsid w:val="0099447C"/>
    <w:rsid w:val="00994E61"/>
    <w:rsid w:val="009A0197"/>
    <w:rsid w:val="009A0B48"/>
    <w:rsid w:val="009A0BDE"/>
    <w:rsid w:val="009A3D23"/>
    <w:rsid w:val="009A6D03"/>
    <w:rsid w:val="009A7FC3"/>
    <w:rsid w:val="009B0860"/>
    <w:rsid w:val="009B4AA7"/>
    <w:rsid w:val="009B520E"/>
    <w:rsid w:val="009C1E46"/>
    <w:rsid w:val="009C37C1"/>
    <w:rsid w:val="009C4BD4"/>
    <w:rsid w:val="009C6766"/>
    <w:rsid w:val="009D6088"/>
    <w:rsid w:val="009D7B51"/>
    <w:rsid w:val="009E12B3"/>
    <w:rsid w:val="009E2C02"/>
    <w:rsid w:val="009E2EAA"/>
    <w:rsid w:val="009F029B"/>
    <w:rsid w:val="009F129C"/>
    <w:rsid w:val="009F1CEC"/>
    <w:rsid w:val="009F62B1"/>
    <w:rsid w:val="00A0035E"/>
    <w:rsid w:val="00A01B90"/>
    <w:rsid w:val="00A1108D"/>
    <w:rsid w:val="00A1131A"/>
    <w:rsid w:val="00A115EE"/>
    <w:rsid w:val="00A1459A"/>
    <w:rsid w:val="00A153C1"/>
    <w:rsid w:val="00A157B3"/>
    <w:rsid w:val="00A16E1D"/>
    <w:rsid w:val="00A175EF"/>
    <w:rsid w:val="00A21A77"/>
    <w:rsid w:val="00A23B05"/>
    <w:rsid w:val="00A24703"/>
    <w:rsid w:val="00A27B71"/>
    <w:rsid w:val="00A3095A"/>
    <w:rsid w:val="00A30E99"/>
    <w:rsid w:val="00A34BB3"/>
    <w:rsid w:val="00A36F1F"/>
    <w:rsid w:val="00A372A5"/>
    <w:rsid w:val="00A37EA9"/>
    <w:rsid w:val="00A40AB9"/>
    <w:rsid w:val="00A44FE2"/>
    <w:rsid w:val="00A45155"/>
    <w:rsid w:val="00A45B5B"/>
    <w:rsid w:val="00A47171"/>
    <w:rsid w:val="00A52775"/>
    <w:rsid w:val="00A53B21"/>
    <w:rsid w:val="00A57938"/>
    <w:rsid w:val="00A57A0E"/>
    <w:rsid w:val="00A607D5"/>
    <w:rsid w:val="00A609EF"/>
    <w:rsid w:val="00A6172E"/>
    <w:rsid w:val="00A62ABD"/>
    <w:rsid w:val="00A65098"/>
    <w:rsid w:val="00A6611B"/>
    <w:rsid w:val="00A71042"/>
    <w:rsid w:val="00A71CE3"/>
    <w:rsid w:val="00A73AE5"/>
    <w:rsid w:val="00A7673E"/>
    <w:rsid w:val="00A77F9B"/>
    <w:rsid w:val="00A80E7A"/>
    <w:rsid w:val="00A80F23"/>
    <w:rsid w:val="00A8107C"/>
    <w:rsid w:val="00A81D7D"/>
    <w:rsid w:val="00A8249C"/>
    <w:rsid w:val="00A8293E"/>
    <w:rsid w:val="00A830EC"/>
    <w:rsid w:val="00A868BC"/>
    <w:rsid w:val="00A87E9C"/>
    <w:rsid w:val="00A922C3"/>
    <w:rsid w:val="00A939F9"/>
    <w:rsid w:val="00A94A5F"/>
    <w:rsid w:val="00A94CFB"/>
    <w:rsid w:val="00AA55A4"/>
    <w:rsid w:val="00AA5DBB"/>
    <w:rsid w:val="00AA6438"/>
    <w:rsid w:val="00AB42C0"/>
    <w:rsid w:val="00AB449B"/>
    <w:rsid w:val="00AB58F3"/>
    <w:rsid w:val="00AB6E80"/>
    <w:rsid w:val="00AB7524"/>
    <w:rsid w:val="00AC3267"/>
    <w:rsid w:val="00AC39B7"/>
    <w:rsid w:val="00AC3BB5"/>
    <w:rsid w:val="00AC59BE"/>
    <w:rsid w:val="00AC7B6C"/>
    <w:rsid w:val="00AD1424"/>
    <w:rsid w:val="00AD181C"/>
    <w:rsid w:val="00AD25AE"/>
    <w:rsid w:val="00AD5686"/>
    <w:rsid w:val="00AD574F"/>
    <w:rsid w:val="00AE208C"/>
    <w:rsid w:val="00AE2722"/>
    <w:rsid w:val="00AE7962"/>
    <w:rsid w:val="00AF0F8E"/>
    <w:rsid w:val="00AF18F0"/>
    <w:rsid w:val="00AF351E"/>
    <w:rsid w:val="00AF38EB"/>
    <w:rsid w:val="00AF5F88"/>
    <w:rsid w:val="00AF6103"/>
    <w:rsid w:val="00B008AE"/>
    <w:rsid w:val="00B01030"/>
    <w:rsid w:val="00B03138"/>
    <w:rsid w:val="00B03334"/>
    <w:rsid w:val="00B04ADC"/>
    <w:rsid w:val="00B05BE4"/>
    <w:rsid w:val="00B103FA"/>
    <w:rsid w:val="00B11141"/>
    <w:rsid w:val="00B125A0"/>
    <w:rsid w:val="00B17CA7"/>
    <w:rsid w:val="00B2121E"/>
    <w:rsid w:val="00B21F64"/>
    <w:rsid w:val="00B22AE9"/>
    <w:rsid w:val="00B22BAE"/>
    <w:rsid w:val="00B27274"/>
    <w:rsid w:val="00B279E1"/>
    <w:rsid w:val="00B30417"/>
    <w:rsid w:val="00B32D82"/>
    <w:rsid w:val="00B3761F"/>
    <w:rsid w:val="00B4073A"/>
    <w:rsid w:val="00B447A3"/>
    <w:rsid w:val="00B44F7F"/>
    <w:rsid w:val="00B45391"/>
    <w:rsid w:val="00B455C9"/>
    <w:rsid w:val="00B462BA"/>
    <w:rsid w:val="00B47031"/>
    <w:rsid w:val="00B47E81"/>
    <w:rsid w:val="00B51B5B"/>
    <w:rsid w:val="00B53E9F"/>
    <w:rsid w:val="00B5796C"/>
    <w:rsid w:val="00B63BC0"/>
    <w:rsid w:val="00B63C59"/>
    <w:rsid w:val="00B64608"/>
    <w:rsid w:val="00B701CC"/>
    <w:rsid w:val="00B70641"/>
    <w:rsid w:val="00B71F26"/>
    <w:rsid w:val="00B72371"/>
    <w:rsid w:val="00B72AA7"/>
    <w:rsid w:val="00B74E85"/>
    <w:rsid w:val="00B75189"/>
    <w:rsid w:val="00B76300"/>
    <w:rsid w:val="00B76456"/>
    <w:rsid w:val="00B76FD6"/>
    <w:rsid w:val="00B84516"/>
    <w:rsid w:val="00B85FD0"/>
    <w:rsid w:val="00B92834"/>
    <w:rsid w:val="00B930AF"/>
    <w:rsid w:val="00B95EE0"/>
    <w:rsid w:val="00B966FB"/>
    <w:rsid w:val="00B97E00"/>
    <w:rsid w:val="00B97F61"/>
    <w:rsid w:val="00BA2C76"/>
    <w:rsid w:val="00BA39DC"/>
    <w:rsid w:val="00BA63DF"/>
    <w:rsid w:val="00BB1A0B"/>
    <w:rsid w:val="00BC0C0C"/>
    <w:rsid w:val="00BC32CB"/>
    <w:rsid w:val="00BD1C4B"/>
    <w:rsid w:val="00BE0D3B"/>
    <w:rsid w:val="00BE24C7"/>
    <w:rsid w:val="00BE2A0D"/>
    <w:rsid w:val="00BE3DEE"/>
    <w:rsid w:val="00BE437A"/>
    <w:rsid w:val="00BE5018"/>
    <w:rsid w:val="00BE61BC"/>
    <w:rsid w:val="00BE6D68"/>
    <w:rsid w:val="00BE7326"/>
    <w:rsid w:val="00BF75A3"/>
    <w:rsid w:val="00C006BF"/>
    <w:rsid w:val="00C00ABB"/>
    <w:rsid w:val="00C00CD0"/>
    <w:rsid w:val="00C03146"/>
    <w:rsid w:val="00C04734"/>
    <w:rsid w:val="00C0624B"/>
    <w:rsid w:val="00C079CC"/>
    <w:rsid w:val="00C10563"/>
    <w:rsid w:val="00C11032"/>
    <w:rsid w:val="00C15B8C"/>
    <w:rsid w:val="00C21C40"/>
    <w:rsid w:val="00C21F21"/>
    <w:rsid w:val="00C243E1"/>
    <w:rsid w:val="00C257F4"/>
    <w:rsid w:val="00C2749C"/>
    <w:rsid w:val="00C344EB"/>
    <w:rsid w:val="00C350F2"/>
    <w:rsid w:val="00C36AFD"/>
    <w:rsid w:val="00C3726D"/>
    <w:rsid w:val="00C40282"/>
    <w:rsid w:val="00C40440"/>
    <w:rsid w:val="00C41393"/>
    <w:rsid w:val="00C416A2"/>
    <w:rsid w:val="00C43BD4"/>
    <w:rsid w:val="00C443C2"/>
    <w:rsid w:val="00C46A53"/>
    <w:rsid w:val="00C47D22"/>
    <w:rsid w:val="00C50174"/>
    <w:rsid w:val="00C54062"/>
    <w:rsid w:val="00C54432"/>
    <w:rsid w:val="00C55585"/>
    <w:rsid w:val="00C600EB"/>
    <w:rsid w:val="00C606A1"/>
    <w:rsid w:val="00C626F4"/>
    <w:rsid w:val="00C63BCF"/>
    <w:rsid w:val="00C70385"/>
    <w:rsid w:val="00C72DF5"/>
    <w:rsid w:val="00C73524"/>
    <w:rsid w:val="00C74C00"/>
    <w:rsid w:val="00C74DCA"/>
    <w:rsid w:val="00C76171"/>
    <w:rsid w:val="00C80894"/>
    <w:rsid w:val="00C843C0"/>
    <w:rsid w:val="00C858BA"/>
    <w:rsid w:val="00C86653"/>
    <w:rsid w:val="00C87ED9"/>
    <w:rsid w:val="00C910ED"/>
    <w:rsid w:val="00C924A9"/>
    <w:rsid w:val="00C93807"/>
    <w:rsid w:val="00C9538D"/>
    <w:rsid w:val="00C95CE0"/>
    <w:rsid w:val="00CA12F7"/>
    <w:rsid w:val="00CA3A3B"/>
    <w:rsid w:val="00CA552A"/>
    <w:rsid w:val="00CA701E"/>
    <w:rsid w:val="00CA722F"/>
    <w:rsid w:val="00CB45D6"/>
    <w:rsid w:val="00CB56E9"/>
    <w:rsid w:val="00CB6FCA"/>
    <w:rsid w:val="00CC1E7C"/>
    <w:rsid w:val="00CC25E5"/>
    <w:rsid w:val="00CC4DC5"/>
    <w:rsid w:val="00CC6F02"/>
    <w:rsid w:val="00CC7526"/>
    <w:rsid w:val="00CD0042"/>
    <w:rsid w:val="00CD045A"/>
    <w:rsid w:val="00CD25F9"/>
    <w:rsid w:val="00CD5DC5"/>
    <w:rsid w:val="00CE44A0"/>
    <w:rsid w:val="00CE49F8"/>
    <w:rsid w:val="00CE58D0"/>
    <w:rsid w:val="00CE7E29"/>
    <w:rsid w:val="00CF00ED"/>
    <w:rsid w:val="00CF5781"/>
    <w:rsid w:val="00D00D17"/>
    <w:rsid w:val="00D02A3F"/>
    <w:rsid w:val="00D100CE"/>
    <w:rsid w:val="00D12CA8"/>
    <w:rsid w:val="00D1525D"/>
    <w:rsid w:val="00D240D6"/>
    <w:rsid w:val="00D24C72"/>
    <w:rsid w:val="00D26398"/>
    <w:rsid w:val="00D266BC"/>
    <w:rsid w:val="00D27510"/>
    <w:rsid w:val="00D30A21"/>
    <w:rsid w:val="00D31176"/>
    <w:rsid w:val="00D3633A"/>
    <w:rsid w:val="00D3634D"/>
    <w:rsid w:val="00D367D5"/>
    <w:rsid w:val="00D36A09"/>
    <w:rsid w:val="00D374D4"/>
    <w:rsid w:val="00D408B6"/>
    <w:rsid w:val="00D40C90"/>
    <w:rsid w:val="00D42205"/>
    <w:rsid w:val="00D45107"/>
    <w:rsid w:val="00D46509"/>
    <w:rsid w:val="00D570E6"/>
    <w:rsid w:val="00D604E7"/>
    <w:rsid w:val="00D612D8"/>
    <w:rsid w:val="00D65266"/>
    <w:rsid w:val="00D72AB8"/>
    <w:rsid w:val="00D76A59"/>
    <w:rsid w:val="00D77274"/>
    <w:rsid w:val="00D812FC"/>
    <w:rsid w:val="00D81AF6"/>
    <w:rsid w:val="00D84198"/>
    <w:rsid w:val="00D903C8"/>
    <w:rsid w:val="00D91F9E"/>
    <w:rsid w:val="00D937EC"/>
    <w:rsid w:val="00D94C59"/>
    <w:rsid w:val="00D9650C"/>
    <w:rsid w:val="00D9721C"/>
    <w:rsid w:val="00D9752A"/>
    <w:rsid w:val="00D97E72"/>
    <w:rsid w:val="00DA071C"/>
    <w:rsid w:val="00DA1CAC"/>
    <w:rsid w:val="00DA2573"/>
    <w:rsid w:val="00DA6BCA"/>
    <w:rsid w:val="00DB059B"/>
    <w:rsid w:val="00DB1CC7"/>
    <w:rsid w:val="00DB37BF"/>
    <w:rsid w:val="00DB6C51"/>
    <w:rsid w:val="00DB7C41"/>
    <w:rsid w:val="00DC4439"/>
    <w:rsid w:val="00DC739E"/>
    <w:rsid w:val="00DD273A"/>
    <w:rsid w:val="00DD3BDE"/>
    <w:rsid w:val="00DE13BA"/>
    <w:rsid w:val="00DE1866"/>
    <w:rsid w:val="00DE327E"/>
    <w:rsid w:val="00DE3C5C"/>
    <w:rsid w:val="00DE48B3"/>
    <w:rsid w:val="00DE5532"/>
    <w:rsid w:val="00DE582B"/>
    <w:rsid w:val="00DE65E6"/>
    <w:rsid w:val="00DF647E"/>
    <w:rsid w:val="00DF7A8E"/>
    <w:rsid w:val="00E011A7"/>
    <w:rsid w:val="00E0204D"/>
    <w:rsid w:val="00E03E40"/>
    <w:rsid w:val="00E04CE2"/>
    <w:rsid w:val="00E057E4"/>
    <w:rsid w:val="00E05E10"/>
    <w:rsid w:val="00E106F6"/>
    <w:rsid w:val="00E11186"/>
    <w:rsid w:val="00E11ED8"/>
    <w:rsid w:val="00E140F5"/>
    <w:rsid w:val="00E14439"/>
    <w:rsid w:val="00E15177"/>
    <w:rsid w:val="00E16689"/>
    <w:rsid w:val="00E16ECA"/>
    <w:rsid w:val="00E20253"/>
    <w:rsid w:val="00E20403"/>
    <w:rsid w:val="00E220EB"/>
    <w:rsid w:val="00E23B81"/>
    <w:rsid w:val="00E241E8"/>
    <w:rsid w:val="00E2477B"/>
    <w:rsid w:val="00E260D5"/>
    <w:rsid w:val="00E2644D"/>
    <w:rsid w:val="00E2755A"/>
    <w:rsid w:val="00E27B0C"/>
    <w:rsid w:val="00E3075A"/>
    <w:rsid w:val="00E342DE"/>
    <w:rsid w:val="00E3656F"/>
    <w:rsid w:val="00E37486"/>
    <w:rsid w:val="00E40F02"/>
    <w:rsid w:val="00E414B6"/>
    <w:rsid w:val="00E43F93"/>
    <w:rsid w:val="00E44476"/>
    <w:rsid w:val="00E4576D"/>
    <w:rsid w:val="00E45DEF"/>
    <w:rsid w:val="00E503D4"/>
    <w:rsid w:val="00E55476"/>
    <w:rsid w:val="00E60019"/>
    <w:rsid w:val="00E609EE"/>
    <w:rsid w:val="00E61A63"/>
    <w:rsid w:val="00E6375D"/>
    <w:rsid w:val="00E64164"/>
    <w:rsid w:val="00E658F4"/>
    <w:rsid w:val="00E65F45"/>
    <w:rsid w:val="00E6742B"/>
    <w:rsid w:val="00E70739"/>
    <w:rsid w:val="00E73E9A"/>
    <w:rsid w:val="00E744D0"/>
    <w:rsid w:val="00E74FD6"/>
    <w:rsid w:val="00E77EB9"/>
    <w:rsid w:val="00E77EBE"/>
    <w:rsid w:val="00E848D9"/>
    <w:rsid w:val="00E84B0B"/>
    <w:rsid w:val="00E86682"/>
    <w:rsid w:val="00E87AD5"/>
    <w:rsid w:val="00E91169"/>
    <w:rsid w:val="00E9264A"/>
    <w:rsid w:val="00E952C3"/>
    <w:rsid w:val="00E97035"/>
    <w:rsid w:val="00E97501"/>
    <w:rsid w:val="00E97D8A"/>
    <w:rsid w:val="00EA0687"/>
    <w:rsid w:val="00EA1269"/>
    <w:rsid w:val="00EA2CBD"/>
    <w:rsid w:val="00EA61D5"/>
    <w:rsid w:val="00EB4641"/>
    <w:rsid w:val="00EB4BE9"/>
    <w:rsid w:val="00EC064E"/>
    <w:rsid w:val="00EC0DEB"/>
    <w:rsid w:val="00EC0E86"/>
    <w:rsid w:val="00EC2A77"/>
    <w:rsid w:val="00EC3CC3"/>
    <w:rsid w:val="00EC4295"/>
    <w:rsid w:val="00EC4D08"/>
    <w:rsid w:val="00EC6342"/>
    <w:rsid w:val="00ED1528"/>
    <w:rsid w:val="00ED193A"/>
    <w:rsid w:val="00ED7F35"/>
    <w:rsid w:val="00EE0780"/>
    <w:rsid w:val="00EE2690"/>
    <w:rsid w:val="00EE32B4"/>
    <w:rsid w:val="00EE6651"/>
    <w:rsid w:val="00EE75C9"/>
    <w:rsid w:val="00EE79D0"/>
    <w:rsid w:val="00EF17DE"/>
    <w:rsid w:val="00EF3382"/>
    <w:rsid w:val="00EF52C2"/>
    <w:rsid w:val="00EF5F81"/>
    <w:rsid w:val="00EF7877"/>
    <w:rsid w:val="00F02F05"/>
    <w:rsid w:val="00F06BE6"/>
    <w:rsid w:val="00F074C4"/>
    <w:rsid w:val="00F104CA"/>
    <w:rsid w:val="00F13AB6"/>
    <w:rsid w:val="00F177CD"/>
    <w:rsid w:val="00F2003D"/>
    <w:rsid w:val="00F20B8F"/>
    <w:rsid w:val="00F23403"/>
    <w:rsid w:val="00F24EE1"/>
    <w:rsid w:val="00F2563E"/>
    <w:rsid w:val="00F257D0"/>
    <w:rsid w:val="00F26130"/>
    <w:rsid w:val="00F2761E"/>
    <w:rsid w:val="00F319F3"/>
    <w:rsid w:val="00F31F65"/>
    <w:rsid w:val="00F33448"/>
    <w:rsid w:val="00F352D8"/>
    <w:rsid w:val="00F420E7"/>
    <w:rsid w:val="00F4212E"/>
    <w:rsid w:val="00F47828"/>
    <w:rsid w:val="00F50C82"/>
    <w:rsid w:val="00F51A1C"/>
    <w:rsid w:val="00F51FEB"/>
    <w:rsid w:val="00F525F1"/>
    <w:rsid w:val="00F532DB"/>
    <w:rsid w:val="00F5519C"/>
    <w:rsid w:val="00F559AF"/>
    <w:rsid w:val="00F56741"/>
    <w:rsid w:val="00F56F7D"/>
    <w:rsid w:val="00F57947"/>
    <w:rsid w:val="00F64677"/>
    <w:rsid w:val="00F656CB"/>
    <w:rsid w:val="00F66458"/>
    <w:rsid w:val="00F73034"/>
    <w:rsid w:val="00F73977"/>
    <w:rsid w:val="00F76470"/>
    <w:rsid w:val="00F77878"/>
    <w:rsid w:val="00F80DAE"/>
    <w:rsid w:val="00F81381"/>
    <w:rsid w:val="00F819FE"/>
    <w:rsid w:val="00F81A60"/>
    <w:rsid w:val="00F81A84"/>
    <w:rsid w:val="00F82067"/>
    <w:rsid w:val="00F85590"/>
    <w:rsid w:val="00F908FE"/>
    <w:rsid w:val="00F90E54"/>
    <w:rsid w:val="00F95103"/>
    <w:rsid w:val="00F96D33"/>
    <w:rsid w:val="00F977CC"/>
    <w:rsid w:val="00FA1709"/>
    <w:rsid w:val="00FA1D41"/>
    <w:rsid w:val="00FA337E"/>
    <w:rsid w:val="00FA5680"/>
    <w:rsid w:val="00FB0E69"/>
    <w:rsid w:val="00FB3480"/>
    <w:rsid w:val="00FB3A7D"/>
    <w:rsid w:val="00FB3E8B"/>
    <w:rsid w:val="00FB48B9"/>
    <w:rsid w:val="00FB4F97"/>
    <w:rsid w:val="00FB5FE3"/>
    <w:rsid w:val="00FB685D"/>
    <w:rsid w:val="00FB791E"/>
    <w:rsid w:val="00FB7F16"/>
    <w:rsid w:val="00FC06F1"/>
    <w:rsid w:val="00FC201A"/>
    <w:rsid w:val="00FC2F6E"/>
    <w:rsid w:val="00FC546B"/>
    <w:rsid w:val="00FC57E2"/>
    <w:rsid w:val="00FE0E6A"/>
    <w:rsid w:val="00FE1668"/>
    <w:rsid w:val="00FE309B"/>
    <w:rsid w:val="00FE34E9"/>
    <w:rsid w:val="00FE43EE"/>
    <w:rsid w:val="00FE65BA"/>
    <w:rsid w:val="00FE6D17"/>
    <w:rsid w:val="00FE7132"/>
    <w:rsid w:val="00FF2E07"/>
    <w:rsid w:val="00FF399C"/>
    <w:rsid w:val="00FF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 style="mso-position-vertical:top;mso-position-vertical-relative:page;mso-height-percent:1000" fillcolor="none [2404]" strokecolor="none [1940]">
      <v:fill color="none [2404]" rotate="t"/>
      <v:stroke color="none [1940]" weight="10pt" linestyle="thinThin"/>
      <v:shadow color="#868686"/>
      <o:colormenu v:ext="edit" fillcolor="none [16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E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C1E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9C1E46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C1E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A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3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A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33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F3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1A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9A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9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9A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8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8A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78A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D7F3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D7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Jasnasiatkaakcent5">
    <w:name w:val="Light Grid Accent 5"/>
    <w:basedOn w:val="Standardowy"/>
    <w:uiPriority w:val="62"/>
    <w:rsid w:val="004A08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A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8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B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3B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3B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B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B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4413075969670458"/>
          <c:y val="6.3898745712671762E-2"/>
          <c:w val="0.85586924030333444"/>
          <c:h val="0.65456067991501066"/>
        </c:manualLayout>
      </c:layout>
      <c:bar3D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0.0%</c:formatCode>
                <c:ptCount val="12"/>
                <c:pt idx="0">
                  <c:v>7.3000000000000037E-2</c:v>
                </c:pt>
                <c:pt idx="1">
                  <c:v>7.1000000000000021E-2</c:v>
                </c:pt>
                <c:pt idx="2">
                  <c:v>7.3000000000000037E-2</c:v>
                </c:pt>
                <c:pt idx="3">
                  <c:v>7.7000000000000041E-2</c:v>
                </c:pt>
                <c:pt idx="4">
                  <c:v>8.0000000000000057E-2</c:v>
                </c:pt>
                <c:pt idx="5">
                  <c:v>7.9000000000000098E-2</c:v>
                </c:pt>
                <c:pt idx="6">
                  <c:v>8.0000000000000057E-2</c:v>
                </c:pt>
                <c:pt idx="7">
                  <c:v>8.0000000000000057E-2</c:v>
                </c:pt>
                <c:pt idx="8">
                  <c:v>8.1000000000000044E-2</c:v>
                </c:pt>
                <c:pt idx="9">
                  <c:v>7.8000000000000055E-2</c:v>
                </c:pt>
                <c:pt idx="10">
                  <c:v>7.8000000000000055E-2</c:v>
                </c:pt>
                <c:pt idx="11">
                  <c:v>8.2000000000000003E-2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0.0%</c:formatCode>
                <c:ptCount val="12"/>
                <c:pt idx="0">
                  <c:v>8.6000000000000063E-2</c:v>
                </c:pt>
                <c:pt idx="1">
                  <c:v>8.4000000000000088E-2</c:v>
                </c:pt>
                <c:pt idx="2">
                  <c:v>8.2000000000000003E-2</c:v>
                </c:pt>
                <c:pt idx="3">
                  <c:v>8.1000000000000044E-2</c:v>
                </c:pt>
                <c:pt idx="4">
                  <c:v>7.9000000000000098E-2</c:v>
                </c:pt>
                <c:pt idx="5">
                  <c:v>7.6000000000000026E-2</c:v>
                </c:pt>
                <c:pt idx="6">
                  <c:v>7.5000000000000067E-2</c:v>
                </c:pt>
                <c:pt idx="7">
                  <c:v>7.5000000000000067E-2</c:v>
                </c:pt>
                <c:pt idx="8">
                  <c:v>7.5000000000000067E-2</c:v>
                </c:pt>
                <c:pt idx="9">
                  <c:v>7.4000000000000052E-2</c:v>
                </c:pt>
                <c:pt idx="10">
                  <c:v>6.9000000000000061E-2</c:v>
                </c:pt>
                <c:pt idx="11">
                  <c:v>7.1000000000000021E-2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Arkusz1!$D$2:$D$13</c:f>
              <c:numCache>
                <c:formatCode>0.0%</c:formatCode>
                <c:ptCount val="12"/>
                <c:pt idx="0">
                  <c:v>7.200000000000005E-2</c:v>
                </c:pt>
                <c:pt idx="1">
                  <c:v>7.0000000000000034E-2</c:v>
                </c:pt>
                <c:pt idx="2">
                  <c:v>6.9000000000000061E-2</c:v>
                </c:pt>
                <c:pt idx="3">
                  <c:v>6.700000000000006E-2</c:v>
                </c:pt>
                <c:pt idx="4">
                  <c:v>6.5000000000000058E-2</c:v>
                </c:pt>
                <c:pt idx="5">
                  <c:v>5.9000000000000045E-2</c:v>
                </c:pt>
                <c:pt idx="6">
                  <c:v>6.0000000000000039E-2</c:v>
                </c:pt>
                <c:pt idx="7">
                  <c:v>6.5000000000000058E-2</c:v>
                </c:pt>
                <c:pt idx="8">
                  <c:v>6.6000000000000003E-2</c:v>
                </c:pt>
                <c:pt idx="9">
                  <c:v>6.700000000000006E-2</c:v>
                </c:pt>
                <c:pt idx="10">
                  <c:v>6.8000000000000033E-2</c:v>
                </c:pt>
                <c:pt idx="11">
                  <c:v>7.0000000000000034E-2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Arkusz1!$E$2:$E$13</c:f>
              <c:numCache>
                <c:formatCode>0.0%</c:formatCode>
                <c:ptCount val="12"/>
                <c:pt idx="0">
                  <c:v>7.4000000000000052E-2</c:v>
                </c:pt>
                <c:pt idx="1">
                  <c:v>7.200000000000005E-2</c:v>
                </c:pt>
                <c:pt idx="2">
                  <c:v>6.9000000000000061E-2</c:v>
                </c:pt>
                <c:pt idx="3">
                  <c:v>6.700000000000006E-2</c:v>
                </c:pt>
                <c:pt idx="4">
                  <c:v>6.6000000000000003E-2</c:v>
                </c:pt>
                <c:pt idx="5">
                  <c:v>6.8000000000000033E-2</c:v>
                </c:pt>
                <c:pt idx="6">
                  <c:v>7.1000000000000021E-2</c:v>
                </c:pt>
                <c:pt idx="7">
                  <c:v>7.0000000000000034E-2</c:v>
                </c:pt>
                <c:pt idx="8">
                  <c:v>7.200000000000005E-2</c:v>
                </c:pt>
                <c:pt idx="9">
                  <c:v>7.200000000000005E-2</c:v>
                </c:pt>
                <c:pt idx="10">
                  <c:v>7.4000000000000052E-2</c:v>
                </c:pt>
                <c:pt idx="11">
                  <c:v>7.5000000000000067E-2</c:v>
                </c:pt>
              </c:numCache>
            </c:numRef>
          </c:val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Arkusz1!$F$2:$F$13</c:f>
              <c:numCache>
                <c:formatCode>0.0%</c:formatCode>
                <c:ptCount val="12"/>
                <c:pt idx="0">
                  <c:v>7.9000000000000098E-2</c:v>
                </c:pt>
                <c:pt idx="1">
                  <c:v>8.0000000000000057E-2</c:v>
                </c:pt>
                <c:pt idx="2">
                  <c:v>7.7000000000000041E-2</c:v>
                </c:pt>
                <c:pt idx="3">
                  <c:v>7.4000000000000052E-2</c:v>
                </c:pt>
                <c:pt idx="4">
                  <c:v>7.200000000000005E-2</c:v>
                </c:pt>
                <c:pt idx="5">
                  <c:v>7.200000000000005E-2</c:v>
                </c:pt>
                <c:pt idx="6">
                  <c:v>7.200000000000005E-2</c:v>
                </c:pt>
                <c:pt idx="7">
                  <c:v>7.3000000000000037E-2</c:v>
                </c:pt>
                <c:pt idx="8">
                  <c:v>7.3000000000000037E-2</c:v>
                </c:pt>
                <c:pt idx="9">
                  <c:v>7.4000000000000052E-2</c:v>
                </c:pt>
                <c:pt idx="10">
                  <c:v>7.4000000000000052E-2</c:v>
                </c:pt>
                <c:pt idx="11">
                  <c:v>7.5000000000000067E-2</c:v>
                </c:pt>
              </c:numCache>
            </c:numRef>
          </c:val>
        </c:ser>
        <c:shape val="cylinder"/>
        <c:axId val="169100800"/>
        <c:axId val="169102336"/>
        <c:axId val="0"/>
      </c:bar3DChart>
      <c:catAx>
        <c:axId val="169100800"/>
        <c:scaling>
          <c:orientation val="minMax"/>
        </c:scaling>
        <c:axPos val="b"/>
        <c:numFmt formatCode="General" sourceLinked="1"/>
        <c:tickLblPos val="nextTo"/>
        <c:crossAx val="169102336"/>
        <c:crosses val="autoZero"/>
        <c:auto val="1"/>
        <c:lblAlgn val="ctr"/>
        <c:lblOffset val="100"/>
      </c:catAx>
      <c:valAx>
        <c:axId val="169102336"/>
        <c:scaling>
          <c:orientation val="minMax"/>
          <c:min val="0"/>
        </c:scaling>
        <c:axPos val="l"/>
        <c:majorGridlines/>
        <c:numFmt formatCode="0.0%" sourceLinked="1"/>
        <c:tickLblPos val="nextTo"/>
        <c:crossAx val="16910080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algn="just" rtl="0">
              <a:defRPr sz="1000"/>
            </a:pPr>
            <a:endParaRPr lang="pl-PL"/>
          </a:p>
        </c:txPr>
      </c:dTable>
      <c:spPr>
        <a:noFill/>
        <a:ln w="25401">
          <a:noFill/>
        </a:ln>
      </c:spPr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6"/>
  <c:chart>
    <c:title>
      <c:tx>
        <c:rich>
          <a:bodyPr/>
          <a:lstStyle/>
          <a:p>
            <a:pPr>
              <a:defRPr/>
            </a:pPr>
            <a:r>
              <a:rPr lang="pl-PL" sz="1200"/>
              <a:t>OSOBY</a:t>
            </a:r>
            <a:r>
              <a:rPr lang="pl-PL" sz="1200" baseline="0"/>
              <a:t> </a:t>
            </a:r>
            <a:r>
              <a:rPr lang="pl-PL" sz="1200"/>
              <a:t>BEZROBOTNE WG CZASU POZOSTAWANIA BEZ PRACY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Arkusz1!$A$2:$A$7</c:f>
              <c:strCache>
                <c:ptCount val="6"/>
                <c:pt idx="0">
                  <c:v>do 1 m-ca</c:v>
                </c:pt>
                <c:pt idx="1">
                  <c:v>1-3 m-cy</c:v>
                </c:pt>
                <c:pt idx="2">
                  <c:v>3-6 m-cy</c:v>
                </c:pt>
                <c:pt idx="3">
                  <c:v>6-12 m-cy</c:v>
                </c:pt>
                <c:pt idx="4">
                  <c:v>12-24 m-cy</c:v>
                </c:pt>
                <c:pt idx="5">
                  <c:v>pow. 24 m-cy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129</c:v>
                </c:pt>
                <c:pt idx="1">
                  <c:v>264</c:v>
                </c:pt>
                <c:pt idx="2">
                  <c:v>274</c:v>
                </c:pt>
                <c:pt idx="3">
                  <c:v>304</c:v>
                </c:pt>
                <c:pt idx="4">
                  <c:v>320</c:v>
                </c:pt>
                <c:pt idx="5">
                  <c:v>320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Arkusz1!$A$2:$A$7</c:f>
              <c:strCache>
                <c:ptCount val="6"/>
                <c:pt idx="0">
                  <c:v>do 1 m-ca</c:v>
                </c:pt>
                <c:pt idx="1">
                  <c:v>1-3 m-cy</c:v>
                </c:pt>
                <c:pt idx="2">
                  <c:v>3-6 m-cy</c:v>
                </c:pt>
                <c:pt idx="3">
                  <c:v>6-12 m-cy</c:v>
                </c:pt>
                <c:pt idx="4">
                  <c:v>12-24 m-cy</c:v>
                </c:pt>
                <c:pt idx="5">
                  <c:v>pow. 24 m-cy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152</c:v>
                </c:pt>
                <c:pt idx="1">
                  <c:v>255</c:v>
                </c:pt>
                <c:pt idx="2">
                  <c:v>195</c:v>
                </c:pt>
                <c:pt idx="3">
                  <c:v>180</c:v>
                </c:pt>
                <c:pt idx="4">
                  <c:v>238</c:v>
                </c:pt>
                <c:pt idx="5">
                  <c:v>355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Arkusz1!$A$2:$A$7</c:f>
              <c:strCache>
                <c:ptCount val="6"/>
                <c:pt idx="0">
                  <c:v>do 1 m-ca</c:v>
                </c:pt>
                <c:pt idx="1">
                  <c:v>1-3 m-cy</c:v>
                </c:pt>
                <c:pt idx="2">
                  <c:v>3-6 m-cy</c:v>
                </c:pt>
                <c:pt idx="3">
                  <c:v>6-12 m-cy</c:v>
                </c:pt>
                <c:pt idx="4">
                  <c:v>12-24 m-cy</c:v>
                </c:pt>
                <c:pt idx="5">
                  <c:v>pow. 24 m-cy</c:v>
                </c:pt>
              </c:strCache>
            </c:strRef>
          </c:cat>
          <c:val>
            <c:numRef>
              <c:f>Arkusz1!$D$2:$D$7</c:f>
              <c:numCache>
                <c:formatCode>General</c:formatCode>
                <c:ptCount val="6"/>
                <c:pt idx="0">
                  <c:v>129</c:v>
                </c:pt>
                <c:pt idx="1">
                  <c:v>302</c:v>
                </c:pt>
                <c:pt idx="2">
                  <c:v>219</c:v>
                </c:pt>
                <c:pt idx="3">
                  <c:v>160</c:v>
                </c:pt>
                <c:pt idx="4">
                  <c:v>171</c:v>
                </c:pt>
                <c:pt idx="5">
                  <c:v>320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Arkusz1!$A$2:$A$7</c:f>
              <c:strCache>
                <c:ptCount val="6"/>
                <c:pt idx="0">
                  <c:v>do 1 m-ca</c:v>
                </c:pt>
                <c:pt idx="1">
                  <c:v>1-3 m-cy</c:v>
                </c:pt>
                <c:pt idx="2">
                  <c:v>3-6 m-cy</c:v>
                </c:pt>
                <c:pt idx="3">
                  <c:v>6-12 m-cy</c:v>
                </c:pt>
                <c:pt idx="4">
                  <c:v>12-24 m-cy</c:v>
                </c:pt>
                <c:pt idx="5">
                  <c:v>pow. 24 m-cy</c:v>
                </c:pt>
              </c:strCache>
            </c:strRef>
          </c:cat>
          <c:val>
            <c:numRef>
              <c:f>Arkusz1!$E$2:$E$7</c:f>
              <c:numCache>
                <c:formatCode>General</c:formatCode>
                <c:ptCount val="6"/>
                <c:pt idx="0">
                  <c:v>144</c:v>
                </c:pt>
                <c:pt idx="1">
                  <c:v>265</c:v>
                </c:pt>
                <c:pt idx="2">
                  <c:v>266</c:v>
                </c:pt>
                <c:pt idx="3">
                  <c:v>242</c:v>
                </c:pt>
                <c:pt idx="4">
                  <c:v>184</c:v>
                </c:pt>
                <c:pt idx="5">
                  <c:v>309</c:v>
                </c:pt>
              </c:numCache>
            </c:numRef>
          </c:val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Arkusz1!$A$2:$A$7</c:f>
              <c:strCache>
                <c:ptCount val="6"/>
                <c:pt idx="0">
                  <c:v>do 1 m-ca</c:v>
                </c:pt>
                <c:pt idx="1">
                  <c:v>1-3 m-cy</c:v>
                </c:pt>
                <c:pt idx="2">
                  <c:v>3-6 m-cy</c:v>
                </c:pt>
                <c:pt idx="3">
                  <c:v>6-12 m-cy</c:v>
                </c:pt>
                <c:pt idx="4">
                  <c:v>12-24 m-cy</c:v>
                </c:pt>
                <c:pt idx="5">
                  <c:v>pow. 24 m-cy</c:v>
                </c:pt>
              </c:strCache>
            </c:strRef>
          </c:cat>
          <c:val>
            <c:numRef>
              <c:f>Arkusz1!$F$2:$F$7</c:f>
              <c:numCache>
                <c:formatCode>General</c:formatCode>
                <c:ptCount val="6"/>
                <c:pt idx="0">
                  <c:v>123</c:v>
                </c:pt>
                <c:pt idx="1">
                  <c:v>236</c:v>
                </c:pt>
                <c:pt idx="2">
                  <c:v>206</c:v>
                </c:pt>
                <c:pt idx="3">
                  <c:v>238</c:v>
                </c:pt>
                <c:pt idx="4">
                  <c:v>275</c:v>
                </c:pt>
                <c:pt idx="5">
                  <c:v>314</c:v>
                </c:pt>
              </c:numCache>
            </c:numRef>
          </c:val>
        </c:ser>
        <c:axId val="169113088"/>
        <c:axId val="169114624"/>
      </c:barChart>
      <c:catAx>
        <c:axId val="169113088"/>
        <c:scaling>
          <c:orientation val="minMax"/>
        </c:scaling>
        <c:axPos val="b"/>
        <c:majorTickMark val="none"/>
        <c:tickLblPos val="nextTo"/>
        <c:crossAx val="169114624"/>
        <c:crosses val="autoZero"/>
        <c:auto val="1"/>
        <c:lblAlgn val="ctr"/>
        <c:lblOffset val="100"/>
      </c:catAx>
      <c:valAx>
        <c:axId val="16911462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91130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6"/>
  <c:chart>
    <c:title>
      <c:tx>
        <c:rich>
          <a:bodyPr/>
          <a:lstStyle/>
          <a:p>
            <a:pPr>
              <a:defRPr sz="1201"/>
            </a:pPr>
            <a:r>
              <a:rPr lang="pl-PL" sz="1201"/>
              <a:t>OSOBY </a:t>
            </a:r>
            <a:r>
              <a:rPr lang="en-US" sz="1201"/>
              <a:t>BEZROBOTN</a:t>
            </a:r>
            <a:r>
              <a:rPr lang="pl-PL" sz="1201"/>
              <a:t>E</a:t>
            </a:r>
            <a:r>
              <a:rPr lang="en-US" sz="1201"/>
              <a:t> WG WIEKU</a:t>
            </a:r>
            <a:endParaRPr lang="en-US" sz="12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18-24 lat</c:v>
                </c:pt>
                <c:pt idx="1">
                  <c:v>25-34 lat</c:v>
                </c:pt>
                <c:pt idx="2">
                  <c:v>35-44 lat</c:v>
                </c:pt>
                <c:pt idx="3">
                  <c:v>45-54 lat</c:v>
                </c:pt>
                <c:pt idx="4">
                  <c:v>55 lat i więcej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229</c:v>
                </c:pt>
                <c:pt idx="1">
                  <c:v>372</c:v>
                </c:pt>
                <c:pt idx="2">
                  <c:v>400</c:v>
                </c:pt>
                <c:pt idx="3">
                  <c:v>325</c:v>
                </c:pt>
                <c:pt idx="4">
                  <c:v>285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18-24 lat</c:v>
                </c:pt>
                <c:pt idx="1">
                  <c:v>25-34 lat</c:v>
                </c:pt>
                <c:pt idx="2">
                  <c:v>35-44 lat</c:v>
                </c:pt>
                <c:pt idx="3">
                  <c:v>45-54 lat</c:v>
                </c:pt>
                <c:pt idx="4">
                  <c:v>55 lat i więcej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167</c:v>
                </c:pt>
                <c:pt idx="1">
                  <c:v>292</c:v>
                </c:pt>
                <c:pt idx="2">
                  <c:v>372</c:v>
                </c:pt>
                <c:pt idx="3">
                  <c:v>292</c:v>
                </c:pt>
                <c:pt idx="4">
                  <c:v>252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18-24 lat</c:v>
                </c:pt>
                <c:pt idx="1">
                  <c:v>25-34 lat</c:v>
                </c:pt>
                <c:pt idx="2">
                  <c:v>35-44 lat</c:v>
                </c:pt>
                <c:pt idx="3">
                  <c:v>45-54 lat</c:v>
                </c:pt>
                <c:pt idx="4">
                  <c:v>55 lat i więcej</c:v>
                </c:pt>
              </c:strCache>
            </c:strRef>
          </c:cat>
          <c:val>
            <c:numRef>
              <c:f>Arkusz1!$D$2:$D$6</c:f>
              <c:numCache>
                <c:formatCode>General</c:formatCode>
                <c:ptCount val="5"/>
                <c:pt idx="0">
                  <c:v>200</c:v>
                </c:pt>
                <c:pt idx="1">
                  <c:v>260</c:v>
                </c:pt>
                <c:pt idx="2">
                  <c:v>325</c:v>
                </c:pt>
                <c:pt idx="3">
                  <c:v>275</c:v>
                </c:pt>
                <c:pt idx="4">
                  <c:v>241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18-24 lat</c:v>
                </c:pt>
                <c:pt idx="1">
                  <c:v>25-34 lat</c:v>
                </c:pt>
                <c:pt idx="2">
                  <c:v>35-44 lat</c:v>
                </c:pt>
                <c:pt idx="3">
                  <c:v>45-54 lat</c:v>
                </c:pt>
                <c:pt idx="4">
                  <c:v>55 lat i więcej</c:v>
                </c:pt>
              </c:strCache>
            </c:strRef>
          </c:cat>
          <c:val>
            <c:numRef>
              <c:f>Arkusz1!$E$2:$E$6</c:f>
              <c:numCache>
                <c:formatCode>General</c:formatCode>
                <c:ptCount val="5"/>
                <c:pt idx="0">
                  <c:v>223</c:v>
                </c:pt>
                <c:pt idx="1">
                  <c:v>303</c:v>
                </c:pt>
                <c:pt idx="2">
                  <c:v>352</c:v>
                </c:pt>
                <c:pt idx="3">
                  <c:v>307</c:v>
                </c:pt>
                <c:pt idx="4">
                  <c:v>225</c:v>
                </c:pt>
              </c:numCache>
            </c:numRef>
          </c:val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18-24 lat</c:v>
                </c:pt>
                <c:pt idx="1">
                  <c:v>25-34 lat</c:v>
                </c:pt>
                <c:pt idx="2">
                  <c:v>35-44 lat</c:v>
                </c:pt>
                <c:pt idx="3">
                  <c:v>45-54 lat</c:v>
                </c:pt>
                <c:pt idx="4">
                  <c:v>55 lat i więcej</c:v>
                </c:pt>
              </c:strCache>
            </c:strRef>
          </c:cat>
          <c:val>
            <c:numRef>
              <c:f>Arkusz1!$F$2:$F$6</c:f>
              <c:numCache>
                <c:formatCode>General</c:formatCode>
                <c:ptCount val="5"/>
                <c:pt idx="0">
                  <c:v>207</c:v>
                </c:pt>
                <c:pt idx="1">
                  <c:v>325</c:v>
                </c:pt>
                <c:pt idx="2">
                  <c:v>335</c:v>
                </c:pt>
                <c:pt idx="3">
                  <c:v>321</c:v>
                </c:pt>
                <c:pt idx="4">
                  <c:v>204</c:v>
                </c:pt>
              </c:numCache>
            </c:numRef>
          </c:val>
        </c:ser>
        <c:axId val="217545728"/>
        <c:axId val="217678592"/>
      </c:barChart>
      <c:catAx>
        <c:axId val="217545728"/>
        <c:scaling>
          <c:orientation val="minMax"/>
        </c:scaling>
        <c:axPos val="b"/>
        <c:majorTickMark val="none"/>
        <c:tickLblPos val="nextTo"/>
        <c:crossAx val="217678592"/>
        <c:crosses val="autoZero"/>
        <c:auto val="1"/>
        <c:lblAlgn val="ctr"/>
        <c:lblOffset val="100"/>
      </c:catAx>
      <c:valAx>
        <c:axId val="2176785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175457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6"/>
  <c:chart>
    <c:title>
      <c:tx>
        <c:rich>
          <a:bodyPr/>
          <a:lstStyle/>
          <a:p>
            <a:pPr>
              <a:defRPr sz="1201"/>
            </a:pPr>
            <a:r>
              <a:rPr lang="pl-PL" sz="1201"/>
              <a:t>OSOBY </a:t>
            </a:r>
            <a:r>
              <a:rPr lang="en-US" sz="1201"/>
              <a:t>BEZROBOTN</a:t>
            </a:r>
            <a:r>
              <a:rPr lang="pl-PL" sz="1201"/>
              <a:t>E</a:t>
            </a:r>
            <a:r>
              <a:rPr lang="en-US" sz="1201"/>
              <a:t> WG W</a:t>
            </a:r>
            <a:r>
              <a:rPr lang="pl-PL" sz="1201"/>
              <a:t>YKSZTAŁCENIA</a:t>
            </a:r>
            <a:endParaRPr lang="en-US" sz="12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116</c:v>
                </c:pt>
                <c:pt idx="1">
                  <c:v>338</c:v>
                </c:pt>
                <c:pt idx="2">
                  <c:v>128</c:v>
                </c:pt>
                <c:pt idx="3">
                  <c:v>638</c:v>
                </c:pt>
                <c:pt idx="4">
                  <c:v>391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116</c:v>
                </c:pt>
                <c:pt idx="1">
                  <c:v>295</c:v>
                </c:pt>
                <c:pt idx="2">
                  <c:v>122</c:v>
                </c:pt>
                <c:pt idx="3">
                  <c:v>509</c:v>
                </c:pt>
                <c:pt idx="4">
                  <c:v>333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Arkusz1!$D$2:$D$6</c:f>
              <c:numCache>
                <c:formatCode>General</c:formatCode>
                <c:ptCount val="5"/>
                <c:pt idx="0">
                  <c:v>100</c:v>
                </c:pt>
                <c:pt idx="1">
                  <c:v>277</c:v>
                </c:pt>
                <c:pt idx="2">
                  <c:v>114</c:v>
                </c:pt>
                <c:pt idx="3">
                  <c:v>489</c:v>
                </c:pt>
                <c:pt idx="4">
                  <c:v>321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Arkusz1!$E$2:$E$6</c:f>
              <c:numCache>
                <c:formatCode>General</c:formatCode>
                <c:ptCount val="5"/>
                <c:pt idx="0">
                  <c:v>112</c:v>
                </c:pt>
                <c:pt idx="1">
                  <c:v>305</c:v>
                </c:pt>
                <c:pt idx="2">
                  <c:v>126</c:v>
                </c:pt>
                <c:pt idx="3">
                  <c:v>546</c:v>
                </c:pt>
                <c:pt idx="4">
                  <c:v>321</c:v>
                </c:pt>
              </c:numCache>
            </c:numRef>
          </c:val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Arkusz1!$F$2:$F$6</c:f>
              <c:numCache>
                <c:formatCode>General</c:formatCode>
                <c:ptCount val="5"/>
                <c:pt idx="0">
                  <c:v>94</c:v>
                </c:pt>
                <c:pt idx="1">
                  <c:v>299</c:v>
                </c:pt>
                <c:pt idx="2">
                  <c:v>137</c:v>
                </c:pt>
                <c:pt idx="3">
                  <c:v>529</c:v>
                </c:pt>
                <c:pt idx="4">
                  <c:v>333</c:v>
                </c:pt>
              </c:numCache>
            </c:numRef>
          </c:val>
        </c:ser>
        <c:axId val="218503040"/>
        <c:axId val="218504576"/>
      </c:barChart>
      <c:catAx>
        <c:axId val="218503040"/>
        <c:scaling>
          <c:orientation val="minMax"/>
        </c:scaling>
        <c:axPos val="b"/>
        <c:majorTickMark val="none"/>
        <c:tickLblPos val="nextTo"/>
        <c:crossAx val="218504576"/>
        <c:crosses val="autoZero"/>
        <c:auto val="1"/>
        <c:lblAlgn val="ctr"/>
        <c:lblOffset val="100"/>
      </c:catAx>
      <c:valAx>
        <c:axId val="2185045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pl-PL"/>
          </a:p>
        </c:txPr>
        <c:crossAx val="2185030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6"/>
  <c:chart>
    <c:title>
      <c:tx>
        <c:rich>
          <a:bodyPr/>
          <a:lstStyle/>
          <a:p>
            <a:pPr>
              <a:defRPr sz="1201"/>
            </a:pPr>
            <a:r>
              <a:rPr lang="pl-PL" sz="1201"/>
              <a:t>OSOBY </a:t>
            </a:r>
            <a:r>
              <a:rPr lang="en-US" sz="1201"/>
              <a:t>BEZROBOTN</a:t>
            </a:r>
            <a:r>
              <a:rPr lang="pl-PL" sz="1201"/>
              <a:t>E</a:t>
            </a:r>
            <a:r>
              <a:rPr lang="en-US" sz="1201"/>
              <a:t> WG</a:t>
            </a:r>
            <a:r>
              <a:rPr lang="pl-PL" sz="1201"/>
              <a:t> STAŻU PRACY</a:t>
            </a:r>
            <a:endParaRPr lang="en-US" sz="12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1-5 lat</c:v>
                </c:pt>
                <c:pt idx="2">
                  <c:v>5-10 lat</c:v>
                </c:pt>
                <c:pt idx="3">
                  <c:v>10-20 lat</c:v>
                </c:pt>
                <c:pt idx="4">
                  <c:v>20-30 lat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173</c:v>
                </c:pt>
                <c:pt idx="1">
                  <c:v>440</c:v>
                </c:pt>
                <c:pt idx="2">
                  <c:v>273</c:v>
                </c:pt>
                <c:pt idx="3">
                  <c:v>297</c:v>
                </c:pt>
                <c:pt idx="4">
                  <c:v>191</c:v>
                </c:pt>
                <c:pt idx="5">
                  <c:v>104</c:v>
                </c:pt>
                <c:pt idx="6">
                  <c:v>133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1-5 lat</c:v>
                </c:pt>
                <c:pt idx="2">
                  <c:v>5-10 lat</c:v>
                </c:pt>
                <c:pt idx="3">
                  <c:v>10-20 lat</c:v>
                </c:pt>
                <c:pt idx="4">
                  <c:v>20-30 lat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Arkusz1!$C$2:$C$8</c:f>
              <c:numCache>
                <c:formatCode>General</c:formatCode>
                <c:ptCount val="7"/>
                <c:pt idx="0">
                  <c:v>161</c:v>
                </c:pt>
                <c:pt idx="1">
                  <c:v>367</c:v>
                </c:pt>
                <c:pt idx="2">
                  <c:v>235</c:v>
                </c:pt>
                <c:pt idx="3">
                  <c:v>269</c:v>
                </c:pt>
                <c:pt idx="4">
                  <c:v>168</c:v>
                </c:pt>
                <c:pt idx="5">
                  <c:v>69</c:v>
                </c:pt>
                <c:pt idx="6">
                  <c:v>106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1-5 lat</c:v>
                </c:pt>
                <c:pt idx="2">
                  <c:v>5-10 lat</c:v>
                </c:pt>
                <c:pt idx="3">
                  <c:v>10-20 lat</c:v>
                </c:pt>
                <c:pt idx="4">
                  <c:v>20-30 lat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Arkusz1!$D$2:$D$8</c:f>
              <c:numCache>
                <c:formatCode>General</c:formatCode>
                <c:ptCount val="7"/>
                <c:pt idx="0">
                  <c:v>164</c:v>
                </c:pt>
                <c:pt idx="1">
                  <c:v>335</c:v>
                </c:pt>
                <c:pt idx="2">
                  <c:v>204</c:v>
                </c:pt>
                <c:pt idx="3">
                  <c:v>264</c:v>
                </c:pt>
                <c:pt idx="4">
                  <c:v>156</c:v>
                </c:pt>
                <c:pt idx="5">
                  <c:v>59</c:v>
                </c:pt>
                <c:pt idx="6">
                  <c:v>119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1-5 lat</c:v>
                </c:pt>
                <c:pt idx="2">
                  <c:v>5-10 lat</c:v>
                </c:pt>
                <c:pt idx="3">
                  <c:v>10-20 lat</c:v>
                </c:pt>
                <c:pt idx="4">
                  <c:v>20-30 lat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Arkusz1!$E$2:$E$8</c:f>
              <c:numCache>
                <c:formatCode>General</c:formatCode>
                <c:ptCount val="7"/>
                <c:pt idx="0">
                  <c:v>185</c:v>
                </c:pt>
                <c:pt idx="1">
                  <c:v>393</c:v>
                </c:pt>
                <c:pt idx="2">
                  <c:v>253</c:v>
                </c:pt>
                <c:pt idx="3">
                  <c:v>265</c:v>
                </c:pt>
                <c:pt idx="4">
                  <c:v>138</c:v>
                </c:pt>
                <c:pt idx="5">
                  <c:v>61</c:v>
                </c:pt>
                <c:pt idx="6">
                  <c:v>115</c:v>
                </c:pt>
              </c:numCache>
            </c:numRef>
          </c:val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Arkusz1!$A$2:$A$8</c:f>
              <c:strCache>
                <c:ptCount val="7"/>
                <c:pt idx="0">
                  <c:v>do 1 roku</c:v>
                </c:pt>
                <c:pt idx="1">
                  <c:v>1-5 lat</c:v>
                </c:pt>
                <c:pt idx="2">
                  <c:v>5-10 lat</c:v>
                </c:pt>
                <c:pt idx="3">
                  <c:v>10-20 lat</c:v>
                </c:pt>
                <c:pt idx="4">
                  <c:v>20-30 lat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Arkusz1!$F$2:$F$8</c:f>
              <c:numCache>
                <c:formatCode>General</c:formatCode>
                <c:ptCount val="7"/>
                <c:pt idx="0">
                  <c:v>184</c:v>
                </c:pt>
                <c:pt idx="1">
                  <c:v>375</c:v>
                </c:pt>
                <c:pt idx="2">
                  <c:v>254</c:v>
                </c:pt>
                <c:pt idx="3">
                  <c:v>248</c:v>
                </c:pt>
                <c:pt idx="4">
                  <c:v>139</c:v>
                </c:pt>
                <c:pt idx="5">
                  <c:v>66</c:v>
                </c:pt>
                <c:pt idx="6">
                  <c:v>126</c:v>
                </c:pt>
              </c:numCache>
            </c:numRef>
          </c:val>
        </c:ser>
        <c:axId val="218511616"/>
        <c:axId val="218988544"/>
      </c:barChart>
      <c:catAx>
        <c:axId val="218511616"/>
        <c:scaling>
          <c:orientation val="minMax"/>
        </c:scaling>
        <c:axPos val="b"/>
        <c:majorTickMark val="none"/>
        <c:tickLblPos val="nextTo"/>
        <c:crossAx val="218988544"/>
        <c:crosses val="autoZero"/>
        <c:auto val="1"/>
        <c:lblAlgn val="ctr"/>
        <c:lblOffset val="100"/>
      </c:catAx>
      <c:valAx>
        <c:axId val="2189885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185116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Arkusz1!$B$1</c:f>
              <c:strCache>
                <c:ptCount val="1"/>
                <c:pt idx="0">
                  <c:v>miejsca pracy niesubsydiowanej</c:v>
                </c:pt>
              </c:strCache>
            </c:strRef>
          </c:tx>
          <c:dLbls>
            <c:showVal val="1"/>
          </c:dLbls>
          <c:cat>
            <c:strRef>
              <c:f>Arkusz1!$A$2:$A$6</c:f>
              <c:strCache>
                <c:ptCount val="5"/>
                <c:pt idx="0">
                  <c:v>rok 2020</c:v>
                </c:pt>
                <c:pt idx="1">
                  <c:v>rok 2021</c:v>
                </c:pt>
                <c:pt idx="2">
                  <c:v>rok 2022</c:v>
                </c:pt>
                <c:pt idx="3">
                  <c:v>rok 2023</c:v>
                </c:pt>
                <c:pt idx="4">
                  <c:v>rok 2024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734</c:v>
                </c:pt>
                <c:pt idx="1">
                  <c:v>1137</c:v>
                </c:pt>
                <c:pt idx="2">
                  <c:v>930</c:v>
                </c:pt>
                <c:pt idx="3">
                  <c:v>688</c:v>
                </c:pt>
                <c:pt idx="4">
                  <c:v>863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miejsca pracy subsydiowanej</c:v>
                </c:pt>
              </c:strCache>
            </c:strRef>
          </c:tx>
          <c:dLbls>
            <c:showVal val="1"/>
          </c:dLbls>
          <c:cat>
            <c:strRef>
              <c:f>Arkusz1!$A$2:$A$6</c:f>
              <c:strCache>
                <c:ptCount val="5"/>
                <c:pt idx="0">
                  <c:v>rok 2020</c:v>
                </c:pt>
                <c:pt idx="1">
                  <c:v>rok 2021</c:v>
                </c:pt>
                <c:pt idx="2">
                  <c:v>rok 2022</c:v>
                </c:pt>
                <c:pt idx="3">
                  <c:v>rok 2023</c:v>
                </c:pt>
                <c:pt idx="4">
                  <c:v>rok 2024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308</c:v>
                </c:pt>
                <c:pt idx="1">
                  <c:v>556</c:v>
                </c:pt>
                <c:pt idx="2">
                  <c:v>509</c:v>
                </c:pt>
                <c:pt idx="3">
                  <c:v>372</c:v>
                </c:pt>
                <c:pt idx="4">
                  <c:v>486</c:v>
                </c:pt>
              </c:numCache>
            </c:numRef>
          </c:val>
        </c:ser>
        <c:gapWidth val="75"/>
        <c:shape val="cylinder"/>
        <c:axId val="219191936"/>
        <c:axId val="219214208"/>
        <c:axId val="0"/>
      </c:bar3DChart>
      <c:catAx>
        <c:axId val="219191936"/>
        <c:scaling>
          <c:orientation val="minMax"/>
        </c:scaling>
        <c:axPos val="b"/>
        <c:numFmt formatCode="General" sourceLinked="1"/>
        <c:majorTickMark val="none"/>
        <c:tickLblPos val="nextTo"/>
        <c:crossAx val="219214208"/>
        <c:crosses val="autoZero"/>
        <c:auto val="1"/>
        <c:lblAlgn val="ctr"/>
        <c:lblOffset val="100"/>
      </c:catAx>
      <c:valAx>
        <c:axId val="2192142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21919193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34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2020 rok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Arkusz1!$D$2:$D$13</c:f>
              <c:numCache>
                <c:formatCode>General</c:formatCode>
                <c:ptCount val="12"/>
                <c:pt idx="0">
                  <c:v>98</c:v>
                </c:pt>
                <c:pt idx="1">
                  <c:v>147</c:v>
                </c:pt>
                <c:pt idx="2">
                  <c:v>93</c:v>
                </c:pt>
                <c:pt idx="3">
                  <c:v>98</c:v>
                </c:pt>
                <c:pt idx="4">
                  <c:v>99</c:v>
                </c:pt>
                <c:pt idx="5">
                  <c:v>42</c:v>
                </c:pt>
                <c:pt idx="6">
                  <c:v>57</c:v>
                </c:pt>
                <c:pt idx="7">
                  <c:v>77</c:v>
                </c:pt>
                <c:pt idx="8">
                  <c:v>111</c:v>
                </c:pt>
                <c:pt idx="9">
                  <c:v>42</c:v>
                </c:pt>
                <c:pt idx="10">
                  <c:v>44</c:v>
                </c:pt>
                <c:pt idx="11">
                  <c:v>22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2021 rok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62</c:v>
                </c:pt>
                <c:pt idx="1">
                  <c:v>101</c:v>
                </c:pt>
                <c:pt idx="2">
                  <c:v>79</c:v>
                </c:pt>
                <c:pt idx="3">
                  <c:v>191</c:v>
                </c:pt>
                <c:pt idx="4">
                  <c:v>77</c:v>
                </c:pt>
                <c:pt idx="5">
                  <c:v>107</c:v>
                </c:pt>
                <c:pt idx="6">
                  <c:v>88</c:v>
                </c:pt>
                <c:pt idx="7">
                  <c:v>104</c:v>
                </c:pt>
                <c:pt idx="8">
                  <c:v>125</c:v>
                </c:pt>
                <c:pt idx="9">
                  <c:v>77</c:v>
                </c:pt>
                <c:pt idx="10">
                  <c:v>74</c:v>
                </c:pt>
                <c:pt idx="11">
                  <c:v>52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2022 rok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106</c:v>
                </c:pt>
                <c:pt idx="1">
                  <c:v>90</c:v>
                </c:pt>
                <c:pt idx="2">
                  <c:v>39</c:v>
                </c:pt>
                <c:pt idx="3">
                  <c:v>16</c:v>
                </c:pt>
                <c:pt idx="4">
                  <c:v>40</c:v>
                </c:pt>
                <c:pt idx="5">
                  <c:v>56</c:v>
                </c:pt>
                <c:pt idx="6">
                  <c:v>60</c:v>
                </c:pt>
                <c:pt idx="7">
                  <c:v>94</c:v>
                </c:pt>
                <c:pt idx="8">
                  <c:v>104</c:v>
                </c:pt>
                <c:pt idx="9">
                  <c:v>54</c:v>
                </c:pt>
                <c:pt idx="10">
                  <c:v>21</c:v>
                </c:pt>
                <c:pt idx="11">
                  <c:v>55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2023 rok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Arkusz1!$E$2:$E$13</c:f>
              <c:numCache>
                <c:formatCode>General</c:formatCode>
                <c:ptCount val="12"/>
                <c:pt idx="0">
                  <c:v>127</c:v>
                </c:pt>
                <c:pt idx="1">
                  <c:v>92</c:v>
                </c:pt>
                <c:pt idx="2">
                  <c:v>73</c:v>
                </c:pt>
                <c:pt idx="3">
                  <c:v>36</c:v>
                </c:pt>
                <c:pt idx="4">
                  <c:v>62</c:v>
                </c:pt>
                <c:pt idx="5">
                  <c:v>88</c:v>
                </c:pt>
                <c:pt idx="6">
                  <c:v>57</c:v>
                </c:pt>
                <c:pt idx="7">
                  <c:v>49</c:v>
                </c:pt>
                <c:pt idx="8">
                  <c:v>33</c:v>
                </c:pt>
                <c:pt idx="9">
                  <c:v>17</c:v>
                </c:pt>
                <c:pt idx="10">
                  <c:v>37</c:v>
                </c:pt>
                <c:pt idx="11">
                  <c:v>17</c:v>
                </c:pt>
              </c:numCache>
            </c:numRef>
          </c:val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2024 rok</c:v>
                </c:pt>
              </c:strCache>
            </c:strRef>
          </c:tx>
          <c:cat>
            <c:strRef>
              <c:f>Arkusz1!$A$2:$A$13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Arkusz1!$F$2:$F$13</c:f>
              <c:numCache>
                <c:formatCode>General</c:formatCode>
                <c:ptCount val="12"/>
                <c:pt idx="0">
                  <c:v>114</c:v>
                </c:pt>
                <c:pt idx="1">
                  <c:v>94</c:v>
                </c:pt>
                <c:pt idx="2">
                  <c:v>123</c:v>
                </c:pt>
                <c:pt idx="3">
                  <c:v>65</c:v>
                </c:pt>
                <c:pt idx="4">
                  <c:v>58</c:v>
                </c:pt>
                <c:pt idx="5">
                  <c:v>104</c:v>
                </c:pt>
                <c:pt idx="6">
                  <c:v>70</c:v>
                </c:pt>
                <c:pt idx="7">
                  <c:v>70</c:v>
                </c:pt>
                <c:pt idx="8">
                  <c:v>41</c:v>
                </c:pt>
                <c:pt idx="9">
                  <c:v>50</c:v>
                </c:pt>
                <c:pt idx="10">
                  <c:v>27</c:v>
                </c:pt>
                <c:pt idx="11">
                  <c:v>47</c:v>
                </c:pt>
              </c:numCache>
            </c:numRef>
          </c:val>
        </c:ser>
        <c:shape val="cylinder"/>
        <c:axId val="219255936"/>
        <c:axId val="219257472"/>
        <c:axId val="0"/>
      </c:bar3DChart>
      <c:catAx>
        <c:axId val="219255936"/>
        <c:scaling>
          <c:orientation val="minMax"/>
        </c:scaling>
        <c:axPos val="b"/>
        <c:majorTickMark val="none"/>
        <c:tickLblPos val="nextTo"/>
        <c:crossAx val="219257472"/>
        <c:crosses val="autoZero"/>
        <c:auto val="1"/>
        <c:lblAlgn val="ctr"/>
        <c:lblOffset val="100"/>
      </c:catAx>
      <c:valAx>
        <c:axId val="2192574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192559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spPr>
    <a:ln w="9525" cap="rnd"/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31280F-E316-45C4-9707-51DFABD9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10480</TotalTime>
  <Pages>8</Pages>
  <Words>1567</Words>
  <Characters>9407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DZIAŁALNOŚCI       POWIATOWEGO URZĘDU PRACY    W CHODZIEŻY W 2017 ROKU     </vt:lpstr>
    </vt:vector>
  </TitlesOfParts>
  <Company/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DZIAŁALNOŚCI       POWIATOWEGO URZĘDU PRACY    W CHODZIEŻY W 2017 ROKU     </dc:title>
  <dc:subject/>
  <dc:creator>L.Czerwoniec</dc:creator>
  <cp:keywords/>
  <dc:description/>
  <cp:lastModifiedBy>l.czerwoniec</cp:lastModifiedBy>
  <cp:revision>423</cp:revision>
  <cp:lastPrinted>2025-04-23T12:20:00Z</cp:lastPrinted>
  <dcterms:created xsi:type="dcterms:W3CDTF">2017-01-17T12:24:00Z</dcterms:created>
  <dcterms:modified xsi:type="dcterms:W3CDTF">2025-04-23T12:49:00Z</dcterms:modified>
</cp:coreProperties>
</file>