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4531"/>
        <w:gridCol w:w="5099"/>
      </w:tblGrid>
      <w:tr w:rsidR="003F6FCA" w:rsidRPr="0042718E" w:rsidTr="009F76E1">
        <w:trPr>
          <w:trHeight w:val="732"/>
        </w:trPr>
        <w:tc>
          <w:tcPr>
            <w:tcW w:w="1013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773CA" w:rsidRPr="009A1E09" w:rsidRDefault="003F6FCA" w:rsidP="00B773CA">
            <w:pPr>
              <w:jc w:val="center"/>
              <w:rPr>
                <w:b/>
                <w:bCs/>
                <w:sz w:val="22"/>
                <w:szCs w:val="22"/>
              </w:rPr>
            </w:pPr>
            <w:r w:rsidRPr="009A1E09">
              <w:rPr>
                <w:sz w:val="22"/>
                <w:szCs w:val="22"/>
              </w:rPr>
              <w:br w:type="page"/>
            </w:r>
            <w:r w:rsidR="00B773CA" w:rsidRPr="009A1E09">
              <w:rPr>
                <w:b/>
                <w:sz w:val="22"/>
                <w:szCs w:val="22"/>
              </w:rPr>
              <w:t xml:space="preserve">KRYTERIA </w:t>
            </w:r>
            <w:r w:rsidRPr="009A1E09">
              <w:rPr>
                <w:b/>
                <w:bCs/>
                <w:sz w:val="22"/>
                <w:szCs w:val="22"/>
              </w:rPr>
              <w:t>OCEN</w:t>
            </w:r>
            <w:r w:rsidR="00B773CA" w:rsidRPr="009A1E09">
              <w:rPr>
                <w:b/>
                <w:bCs/>
                <w:sz w:val="22"/>
                <w:szCs w:val="22"/>
              </w:rPr>
              <w:t>Y</w:t>
            </w:r>
            <w:r w:rsidRPr="009A1E09">
              <w:rPr>
                <w:b/>
                <w:bCs/>
                <w:sz w:val="22"/>
                <w:szCs w:val="22"/>
              </w:rPr>
              <w:t xml:space="preserve"> MERYTORYCZN</w:t>
            </w:r>
            <w:r w:rsidR="00B773CA" w:rsidRPr="009A1E09">
              <w:rPr>
                <w:b/>
                <w:bCs/>
                <w:sz w:val="22"/>
                <w:szCs w:val="22"/>
              </w:rPr>
              <w:t>EJ</w:t>
            </w:r>
            <w:r w:rsidRPr="009A1E09">
              <w:rPr>
                <w:b/>
                <w:bCs/>
                <w:sz w:val="22"/>
                <w:szCs w:val="22"/>
              </w:rPr>
              <w:t xml:space="preserve"> WNIO</w:t>
            </w:r>
            <w:r w:rsidR="0048251F" w:rsidRPr="009A1E09">
              <w:rPr>
                <w:b/>
                <w:bCs/>
                <w:sz w:val="22"/>
                <w:szCs w:val="22"/>
              </w:rPr>
              <w:t>SKOWANEJ FORMY WSPARCIA/</w:t>
            </w:r>
          </w:p>
          <w:p w:rsidR="003F6FCA" w:rsidRPr="009A1E09" w:rsidRDefault="009C0C40" w:rsidP="00B773CA">
            <w:pPr>
              <w:jc w:val="center"/>
              <w:rPr>
                <w:b/>
                <w:bCs/>
                <w:sz w:val="22"/>
                <w:szCs w:val="22"/>
              </w:rPr>
            </w:pPr>
            <w:r w:rsidRPr="009A1E09">
              <w:rPr>
                <w:b/>
                <w:bCs/>
                <w:sz w:val="22"/>
                <w:szCs w:val="22"/>
              </w:rPr>
              <w:t xml:space="preserve">USŁUGI KSZTAŁCENIA </w:t>
            </w:r>
          </w:p>
        </w:tc>
      </w:tr>
      <w:tr w:rsidR="009D7409" w:rsidRPr="0042718E" w:rsidTr="00283FBC">
        <w:trPr>
          <w:trHeight w:val="282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F6FCA" w:rsidRPr="0042718E" w:rsidRDefault="003F6FCA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bCs/>
              </w:rPr>
            </w:pPr>
          </w:p>
        </w:tc>
        <w:tc>
          <w:tcPr>
            <w:tcW w:w="4531" w:type="dxa"/>
            <w:vMerge w:val="restart"/>
            <w:shd w:val="clear" w:color="auto" w:fill="F2F2F2"/>
            <w:vAlign w:val="center"/>
          </w:tcPr>
          <w:p w:rsidR="003F6FCA" w:rsidRPr="009A1E09" w:rsidRDefault="003F6FCA" w:rsidP="009A65D4">
            <w:pPr>
              <w:rPr>
                <w:bCs/>
                <w:sz w:val="24"/>
                <w:szCs w:val="24"/>
              </w:rPr>
            </w:pPr>
            <w:r w:rsidRPr="009A1E09">
              <w:rPr>
                <w:bCs/>
                <w:sz w:val="24"/>
                <w:szCs w:val="24"/>
              </w:rPr>
              <w:t>Posiadanie przez realizatora usługi kształcenia ustawicznego certyfikatów jakości oferowanych usług</w:t>
            </w:r>
            <w:r w:rsidR="00633DCF" w:rsidRPr="009A1E09">
              <w:rPr>
                <w:bCs/>
                <w:sz w:val="24"/>
                <w:szCs w:val="24"/>
              </w:rPr>
              <w:t xml:space="preserve"> – maksymalnie 4 punkty</w:t>
            </w: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3F6FCA" w:rsidRPr="009A1E09" w:rsidRDefault="003F6FCA" w:rsidP="00A64945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2 certyfikaty i więcej </w:t>
            </w:r>
            <w:r w:rsidR="009D7409" w:rsidRPr="009A1E09">
              <w:rPr>
                <w:rFonts w:ascii="Times New Roman" w:hAnsi="Times New Roman"/>
              </w:rPr>
              <w:t xml:space="preserve">– 4 pkt </w:t>
            </w:r>
          </w:p>
        </w:tc>
      </w:tr>
      <w:tr w:rsidR="009D7409" w:rsidRPr="0042718E" w:rsidTr="00620FA1">
        <w:trPr>
          <w:trHeight w:val="282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F6FCA" w:rsidRPr="0042718E" w:rsidRDefault="003F6FCA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noProof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3F6FCA" w:rsidRPr="009A1E09" w:rsidRDefault="003F6FCA" w:rsidP="009A65D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3F6FCA" w:rsidRPr="009A1E09" w:rsidRDefault="009D7409" w:rsidP="00A64945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1 certyfikat – 2 pkt </w:t>
            </w:r>
          </w:p>
        </w:tc>
      </w:tr>
      <w:tr w:rsidR="009D7409" w:rsidRPr="0042718E" w:rsidTr="00620FA1">
        <w:trPr>
          <w:trHeight w:val="282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3F6FCA" w:rsidRPr="0042718E" w:rsidRDefault="003F6FCA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noProof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3F6FCA" w:rsidRPr="009A1E09" w:rsidRDefault="003F6FCA" w:rsidP="009A65D4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3F6FCA" w:rsidRPr="009A1E09" w:rsidRDefault="009D7409" w:rsidP="00A64945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Brak certyfikatów – 0 pkt</w:t>
            </w:r>
          </w:p>
        </w:tc>
      </w:tr>
      <w:tr w:rsidR="00E440EF" w:rsidRPr="0042718E" w:rsidTr="009F76E1">
        <w:trPr>
          <w:trHeight w:val="368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 w:val="restart"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  <w:r w:rsidRPr="009A1E09">
              <w:rPr>
                <w:bCs/>
                <w:sz w:val="24"/>
                <w:szCs w:val="24"/>
              </w:rPr>
              <w:t>Średni koszt jednostkowy usługi wskazanej do sfinansowania ze środków KFS – maksymalnie 10 punktów</w:t>
            </w:r>
          </w:p>
          <w:p w:rsidR="00E440EF" w:rsidRPr="009A1E09" w:rsidRDefault="00843FF0" w:rsidP="00A53C15">
            <w:pPr>
              <w:rPr>
                <w:bCs/>
                <w:sz w:val="24"/>
                <w:szCs w:val="24"/>
              </w:rPr>
            </w:pPr>
            <w:r w:rsidRPr="009A1E09">
              <w:rPr>
                <w:sz w:val="24"/>
                <w:szCs w:val="24"/>
              </w:rPr>
              <w:t>*</w:t>
            </w:r>
            <w:r w:rsidR="00956A49">
              <w:rPr>
                <w:bCs/>
                <w:sz w:val="24"/>
                <w:szCs w:val="24"/>
              </w:rPr>
              <w:t>Średni koszt jednostkowy w 2023</w:t>
            </w:r>
            <w:r w:rsidR="00A53C15">
              <w:rPr>
                <w:bCs/>
                <w:sz w:val="24"/>
                <w:szCs w:val="24"/>
              </w:rPr>
              <w:t xml:space="preserve"> roku wyniósł 1.399</w:t>
            </w:r>
            <w:r w:rsidR="00E440EF" w:rsidRPr="009A1E09">
              <w:rPr>
                <w:bCs/>
                <w:sz w:val="24"/>
                <w:szCs w:val="24"/>
              </w:rPr>
              <w:t>,</w:t>
            </w:r>
            <w:r w:rsidR="00A53C15">
              <w:rPr>
                <w:bCs/>
                <w:sz w:val="24"/>
                <w:szCs w:val="24"/>
              </w:rPr>
              <w:t>06</w:t>
            </w:r>
            <w:r w:rsidR="00E440EF" w:rsidRPr="009A1E09">
              <w:rPr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A53C15">
            <w:pPr>
              <w:pStyle w:val="Akapitzlist"/>
              <w:numPr>
                <w:ilvl w:val="0"/>
                <w:numId w:val="13"/>
              </w:numPr>
              <w:spacing w:before="60" w:after="60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do </w:t>
            </w:r>
            <w:r w:rsidR="00A53C15">
              <w:rPr>
                <w:rFonts w:ascii="Times New Roman" w:hAnsi="Times New Roman"/>
              </w:rPr>
              <w:t>1.400</w:t>
            </w:r>
            <w:r w:rsidRPr="009A1E09">
              <w:rPr>
                <w:rFonts w:ascii="Times New Roman" w:hAnsi="Times New Roman"/>
              </w:rPr>
              <w:t>,</w:t>
            </w:r>
            <w:r w:rsidR="00A53C15">
              <w:rPr>
                <w:rFonts w:ascii="Times New Roman" w:hAnsi="Times New Roman"/>
              </w:rPr>
              <w:t>00</w:t>
            </w:r>
            <w:r w:rsidR="00843FF0" w:rsidRPr="009A1E09">
              <w:rPr>
                <w:rFonts w:ascii="Times New Roman" w:hAnsi="Times New Roman"/>
              </w:rPr>
              <w:t xml:space="preserve"> zł*</w:t>
            </w:r>
            <w:r w:rsidRPr="009A1E09">
              <w:rPr>
                <w:rFonts w:ascii="Times New Roman" w:hAnsi="Times New Roman"/>
              </w:rPr>
              <w:t xml:space="preserve">– 10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9F76E1">
        <w:trPr>
          <w:trHeight w:val="28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A53C15" w:rsidP="00A53C15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1.400,</w:t>
            </w:r>
            <w:r w:rsidR="00843FF0" w:rsidRPr="009A1E0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="00E440EF" w:rsidRPr="009A1E09">
              <w:rPr>
                <w:rFonts w:ascii="Times New Roman" w:hAnsi="Times New Roman"/>
              </w:rPr>
              <w:t xml:space="preserve"> zł do </w:t>
            </w:r>
            <w:r>
              <w:rPr>
                <w:rFonts w:ascii="Times New Roman" w:hAnsi="Times New Roman"/>
              </w:rPr>
              <w:t>1.900</w:t>
            </w:r>
            <w:r w:rsidR="00E440EF" w:rsidRPr="009A1E09">
              <w:rPr>
                <w:rFonts w:ascii="Times New Roman" w:hAnsi="Times New Roman"/>
              </w:rPr>
              <w:t>,00 zł – 9 pkt</w:t>
            </w:r>
          </w:p>
        </w:tc>
      </w:tr>
      <w:tr w:rsidR="00E440EF" w:rsidRPr="0042718E" w:rsidTr="009F76E1">
        <w:trPr>
          <w:trHeight w:val="33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1.900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2.400</w:t>
            </w:r>
            <w:r w:rsidRPr="009A1E09">
              <w:rPr>
                <w:rFonts w:ascii="Times New Roman" w:hAnsi="Times New Roman"/>
              </w:rPr>
              <w:t xml:space="preserve">,00 – 8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E440EF" w:rsidRPr="0042718E" w:rsidTr="009F76E1">
        <w:trPr>
          <w:trHeight w:val="331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2.400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2.900</w:t>
            </w:r>
            <w:r w:rsidRPr="009A1E09">
              <w:rPr>
                <w:rFonts w:ascii="Times New Roman" w:hAnsi="Times New Roman"/>
              </w:rPr>
              <w:t xml:space="preserve">,00 – 7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9F76E1">
        <w:trPr>
          <w:trHeight w:val="325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2.900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3.400</w:t>
            </w:r>
            <w:r w:rsidRPr="009A1E09">
              <w:rPr>
                <w:rFonts w:ascii="Times New Roman" w:hAnsi="Times New Roman"/>
              </w:rPr>
              <w:t xml:space="preserve">,00 – 6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E440EF" w:rsidRPr="0042718E" w:rsidTr="009F76E1">
        <w:trPr>
          <w:trHeight w:val="315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3.400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3.900</w:t>
            </w:r>
            <w:r w:rsidRPr="009A1E09">
              <w:rPr>
                <w:rFonts w:ascii="Times New Roman" w:hAnsi="Times New Roman"/>
              </w:rPr>
              <w:t xml:space="preserve">,00 – 5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9F76E1">
        <w:trPr>
          <w:trHeight w:val="281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3.900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4.400</w:t>
            </w:r>
            <w:r w:rsidRPr="009A1E09">
              <w:rPr>
                <w:rFonts w:ascii="Times New Roman" w:hAnsi="Times New Roman"/>
              </w:rPr>
              <w:t xml:space="preserve">,00 – 4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E440EF" w:rsidRPr="0042718E" w:rsidTr="009F76E1">
        <w:trPr>
          <w:trHeight w:val="375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4.400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4.900</w:t>
            </w:r>
            <w:r w:rsidRPr="009A1E09">
              <w:rPr>
                <w:rFonts w:ascii="Times New Roman" w:hAnsi="Times New Roman"/>
              </w:rPr>
              <w:t xml:space="preserve">,00 – 3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9F76E1">
        <w:trPr>
          <w:trHeight w:val="327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4.900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5.400</w:t>
            </w:r>
            <w:r w:rsidRPr="009A1E09">
              <w:rPr>
                <w:rFonts w:ascii="Times New Roman" w:hAnsi="Times New Roman"/>
              </w:rPr>
              <w:t xml:space="preserve">,00 – 2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E440EF" w:rsidRPr="0042718E" w:rsidTr="009F76E1">
        <w:trPr>
          <w:trHeight w:val="307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451810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od </w:t>
            </w:r>
            <w:r w:rsidR="00451810">
              <w:rPr>
                <w:rFonts w:ascii="Times New Roman" w:hAnsi="Times New Roman"/>
              </w:rPr>
              <w:t>5.400</w:t>
            </w:r>
            <w:r w:rsidRPr="009A1E09">
              <w:rPr>
                <w:rFonts w:ascii="Times New Roman" w:hAnsi="Times New Roman"/>
              </w:rPr>
              <w:t xml:space="preserve">,01 do </w:t>
            </w:r>
            <w:r w:rsidR="00451810">
              <w:rPr>
                <w:rFonts w:ascii="Times New Roman" w:hAnsi="Times New Roman"/>
              </w:rPr>
              <w:t>5.900</w:t>
            </w:r>
            <w:r w:rsidRPr="009A1E09">
              <w:rPr>
                <w:rFonts w:ascii="Times New Roman" w:hAnsi="Times New Roman"/>
              </w:rPr>
              <w:t xml:space="preserve">,00 – 1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E440EF" w:rsidRPr="0042718E" w:rsidTr="009F76E1">
        <w:trPr>
          <w:trHeight w:val="33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9D7409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451810" w:rsidP="00451810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powyżej 5.90</w:t>
            </w:r>
            <w:r w:rsidR="00E440EF" w:rsidRPr="009A1E09">
              <w:rPr>
                <w:rFonts w:ascii="Times New Roman" w:hAnsi="Times New Roman"/>
              </w:rPr>
              <w:t>0,00 zł – 0 pkt</w:t>
            </w:r>
          </w:p>
        </w:tc>
      </w:tr>
      <w:tr w:rsidR="00620FA1" w:rsidRPr="0042718E" w:rsidTr="009F76E1">
        <w:trPr>
          <w:trHeight w:val="544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620FA1" w:rsidRPr="0042718E" w:rsidRDefault="00620FA1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 w:val="restart"/>
            <w:shd w:val="clear" w:color="auto" w:fill="F2F2F2"/>
            <w:vAlign w:val="center"/>
          </w:tcPr>
          <w:p w:rsidR="00620FA1" w:rsidRPr="009A1E09" w:rsidRDefault="00620FA1" w:rsidP="00B75410">
            <w:pPr>
              <w:rPr>
                <w:bCs/>
                <w:sz w:val="24"/>
                <w:szCs w:val="24"/>
              </w:rPr>
            </w:pPr>
            <w:r w:rsidRPr="009A1E09">
              <w:rPr>
                <w:bCs/>
                <w:sz w:val="24"/>
                <w:szCs w:val="24"/>
              </w:rPr>
              <w:t>Koszt jednostkowy usługi wskazanej do sfinansowania ze środków KFS w porównaniu z kosztami podobnych usług dostępnych na rynku – maksymalnie 8 punktów (w przypadku gdy na runku nie istnieją porównywalne usługi, punkt ten nie podlega ocenie)</w:t>
            </w:r>
          </w:p>
        </w:tc>
        <w:tc>
          <w:tcPr>
            <w:tcW w:w="5096" w:type="dxa"/>
            <w:tcBorders>
              <w:right w:val="single" w:sz="2" w:space="0" w:color="auto"/>
            </w:tcBorders>
            <w:vAlign w:val="center"/>
          </w:tcPr>
          <w:p w:rsidR="00620FA1" w:rsidRPr="009A1E09" w:rsidRDefault="00620FA1" w:rsidP="00A04AD3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Cena wskazanego kształcenia jest poniżej cen porównywalnych – 8 pkt</w:t>
            </w:r>
          </w:p>
        </w:tc>
      </w:tr>
      <w:tr w:rsidR="00620FA1" w:rsidRPr="0042718E" w:rsidTr="00620FA1">
        <w:trPr>
          <w:trHeight w:val="513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620FA1" w:rsidRPr="0042718E" w:rsidRDefault="00620FA1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620FA1" w:rsidRPr="009A1E09" w:rsidRDefault="00620FA1" w:rsidP="00941323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620FA1" w:rsidRPr="009A1E09" w:rsidRDefault="00620FA1" w:rsidP="00A04AD3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Cena wskazanego kształcenia jest w granicach cen porównywalnych – od 4 do 7 pkt  (od 50% do 99%)</w:t>
            </w:r>
          </w:p>
        </w:tc>
      </w:tr>
      <w:tr w:rsidR="00620FA1" w:rsidRPr="0042718E" w:rsidTr="00620FA1">
        <w:trPr>
          <w:trHeight w:val="53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620FA1" w:rsidRPr="0042718E" w:rsidRDefault="00620FA1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620FA1" w:rsidRPr="009A1E09" w:rsidRDefault="00620FA1" w:rsidP="00941323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620FA1" w:rsidRPr="009A1E09" w:rsidRDefault="00620FA1" w:rsidP="00A04AD3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Cena wskazanego kształcenia jest powyżej cen porównywalnych – 0 do 3 pkt (poniżej 50%)</w:t>
            </w:r>
          </w:p>
        </w:tc>
      </w:tr>
      <w:tr w:rsidR="00620FA1" w:rsidRPr="0042718E" w:rsidTr="00620FA1">
        <w:trPr>
          <w:trHeight w:val="240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620FA1" w:rsidRPr="0042718E" w:rsidRDefault="00620FA1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620FA1" w:rsidRPr="009A1E09" w:rsidRDefault="00620FA1" w:rsidP="00941323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620FA1" w:rsidRPr="009A1E09" w:rsidRDefault="00620FA1" w:rsidP="00A04AD3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Nie dotyczy</w:t>
            </w:r>
          </w:p>
        </w:tc>
      </w:tr>
      <w:tr w:rsidR="00620FA1" w:rsidRPr="0042718E" w:rsidTr="00620FA1">
        <w:trPr>
          <w:trHeight w:val="240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620FA1" w:rsidRPr="0042718E" w:rsidRDefault="00620FA1" w:rsidP="00620FA1">
            <w:pPr>
              <w:pStyle w:val="Akapitzlist"/>
              <w:spacing w:after="0" w:line="240" w:lineRule="auto"/>
              <w:ind w:left="454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620FA1" w:rsidRPr="009A1E09" w:rsidRDefault="00620FA1" w:rsidP="00941323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620FA1" w:rsidRPr="009A1E09" w:rsidRDefault="00620FA1" w:rsidP="00A04AD3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przyznanych punktów _____________</w:t>
            </w:r>
          </w:p>
        </w:tc>
      </w:tr>
      <w:tr w:rsidR="002A586F" w:rsidRPr="0042718E" w:rsidTr="00620FA1">
        <w:trPr>
          <w:trHeight w:val="1623"/>
        </w:trPr>
        <w:tc>
          <w:tcPr>
            <w:tcW w:w="501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A586F" w:rsidRPr="0042718E" w:rsidRDefault="002A586F" w:rsidP="003F6FC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25"/>
              <w:rPr>
                <w:rFonts w:ascii="Times New Roman" w:hAnsi="Times New Roman"/>
                <w:iCs/>
              </w:rPr>
            </w:pPr>
          </w:p>
        </w:tc>
        <w:tc>
          <w:tcPr>
            <w:tcW w:w="4531" w:type="dxa"/>
            <w:shd w:val="clear" w:color="auto" w:fill="F2F2F2"/>
            <w:vAlign w:val="center"/>
          </w:tcPr>
          <w:p w:rsidR="002A586F" w:rsidRPr="009A1E09" w:rsidRDefault="002A586F" w:rsidP="00D20821">
            <w:pPr>
              <w:spacing w:before="120" w:after="120"/>
              <w:ind w:left="28"/>
              <w:rPr>
                <w:sz w:val="24"/>
                <w:szCs w:val="24"/>
              </w:rPr>
            </w:pPr>
            <w:r w:rsidRPr="009A1E09">
              <w:rPr>
                <w:sz w:val="24"/>
                <w:szCs w:val="24"/>
              </w:rPr>
              <w:t xml:space="preserve">Uzasadnienie potrzeby odbycia kształcenia ustawicznego przez pracownika lub pracodawcę przy uwzględnieniu obecnych lub przyszłych potrzeb Pracodawcy </w:t>
            </w:r>
            <w:r w:rsidRPr="009A1E09">
              <w:rPr>
                <w:bCs/>
                <w:sz w:val="24"/>
                <w:szCs w:val="24"/>
              </w:rPr>
              <w:t xml:space="preserve">– maksymalnie 20 punktów </w:t>
            </w:r>
            <w:r w:rsidRPr="009A1E09">
              <w:rPr>
                <w:sz w:val="24"/>
                <w:szCs w:val="24"/>
              </w:rPr>
              <w:t xml:space="preserve">(uzasadnienie punktu 1 ze strony 6 wniosku – każda </w:t>
            </w:r>
            <w:r w:rsidR="00B75410" w:rsidRPr="009A1E09">
              <w:rPr>
                <w:sz w:val="24"/>
                <w:szCs w:val="24"/>
              </w:rPr>
              <w:t>wnioskowana forma wsparcia</w:t>
            </w:r>
            <w:r w:rsidRPr="009A1E09">
              <w:rPr>
                <w:sz w:val="24"/>
                <w:szCs w:val="24"/>
              </w:rPr>
              <w:t>)</w:t>
            </w: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A586F" w:rsidRPr="009A1E09" w:rsidRDefault="002A586F" w:rsidP="002A586F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Liczba przyznanych punktów:</w:t>
            </w:r>
          </w:p>
          <w:p w:rsidR="00B75410" w:rsidRPr="009A1E09" w:rsidRDefault="00B75410" w:rsidP="002A586F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</w:p>
          <w:p w:rsidR="002A586F" w:rsidRPr="009A1E09" w:rsidRDefault="002A586F" w:rsidP="002A586F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___________</w:t>
            </w:r>
          </w:p>
          <w:p w:rsidR="002A586F" w:rsidRPr="009A1E09" w:rsidRDefault="002A586F" w:rsidP="002A586F">
            <w:pPr>
              <w:pStyle w:val="Akapitzlist"/>
              <w:tabs>
                <w:tab w:val="left" w:pos="175"/>
              </w:tabs>
              <w:spacing w:before="60" w:after="6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E440EF" w:rsidRPr="0042718E" w:rsidTr="00620FA1">
        <w:trPr>
          <w:trHeight w:val="714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tabs>
                <w:tab w:val="left" w:pos="4746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shd w:val="clear" w:color="auto" w:fill="F2F2F2"/>
            <w:vAlign w:val="center"/>
          </w:tcPr>
          <w:p w:rsidR="00E440EF" w:rsidRPr="009A1E09" w:rsidRDefault="00E440EF" w:rsidP="00D20821">
            <w:pPr>
              <w:tabs>
                <w:tab w:val="left" w:pos="4746"/>
              </w:tabs>
              <w:spacing w:before="120" w:after="120"/>
              <w:ind w:left="31"/>
              <w:rPr>
                <w:sz w:val="24"/>
                <w:szCs w:val="24"/>
              </w:rPr>
            </w:pPr>
            <w:r w:rsidRPr="009A1E09">
              <w:rPr>
                <w:sz w:val="24"/>
                <w:szCs w:val="24"/>
              </w:rPr>
              <w:t xml:space="preserve">Zgodność kompetencji nabytych przez uczestników kształcenia ustawicznego z potrzebami lokalnego lub regionalnego rynku pracy (wskazanie </w:t>
            </w:r>
            <w:r w:rsidR="00A53C15">
              <w:rPr>
                <w:sz w:val="24"/>
                <w:szCs w:val="24"/>
              </w:rPr>
              <w:t>zgodne z Barometrem Zawodów 2024</w:t>
            </w:r>
            <w:r w:rsidRPr="009A1E09">
              <w:rPr>
                <w:sz w:val="24"/>
                <w:szCs w:val="24"/>
              </w:rPr>
              <w:t>)</w:t>
            </w:r>
            <w:r w:rsidRPr="009A1E09">
              <w:rPr>
                <w:bCs/>
                <w:sz w:val="24"/>
                <w:szCs w:val="24"/>
              </w:rPr>
              <w:t xml:space="preserve"> – maksymalnie 4 punkty</w:t>
            </w: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E440EF" w:rsidRPr="009A1E09" w:rsidRDefault="00E440EF" w:rsidP="00A04AD3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Zgodne z regionalnym lub </w:t>
            </w:r>
            <w:r w:rsidR="00A53C15">
              <w:rPr>
                <w:rFonts w:ascii="Times New Roman" w:hAnsi="Times New Roman"/>
              </w:rPr>
              <w:t>lokalnym Barometrem Zawodów 2024</w:t>
            </w:r>
            <w:r w:rsidRPr="009A1E09">
              <w:rPr>
                <w:rFonts w:ascii="Times New Roman" w:hAnsi="Times New Roman"/>
              </w:rPr>
              <w:t xml:space="preserve"> – 4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620FA1">
        <w:trPr>
          <w:trHeight w:val="631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tabs>
                <w:tab w:val="left" w:pos="4746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E440EF" w:rsidRPr="009A1E09" w:rsidRDefault="00E440EF" w:rsidP="00D20821">
            <w:pPr>
              <w:tabs>
                <w:tab w:val="left" w:pos="4746"/>
              </w:tabs>
              <w:spacing w:before="120" w:after="120"/>
              <w:ind w:left="31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E440EF" w:rsidRPr="009A1E09" w:rsidRDefault="00E440EF" w:rsidP="00A04AD3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Niezgodne z regionalnym lub lokaln</w:t>
            </w:r>
            <w:r w:rsidR="002E6B62" w:rsidRPr="009A1E09">
              <w:rPr>
                <w:rFonts w:ascii="Times New Roman" w:hAnsi="Times New Roman"/>
              </w:rPr>
              <w:t xml:space="preserve">ym Barometrem </w:t>
            </w:r>
            <w:r w:rsidR="00A53C15">
              <w:rPr>
                <w:rFonts w:ascii="Times New Roman" w:hAnsi="Times New Roman"/>
              </w:rPr>
              <w:t>Zawodów 2024</w:t>
            </w:r>
            <w:r w:rsidRPr="009A1E09">
              <w:rPr>
                <w:rFonts w:ascii="Times New Roman" w:hAnsi="Times New Roman"/>
              </w:rPr>
              <w:t xml:space="preserve"> – 0 </w:t>
            </w:r>
            <w:proofErr w:type="spellStart"/>
            <w:r w:rsidRPr="009A1E09">
              <w:rPr>
                <w:rFonts w:ascii="Times New Roman" w:hAnsi="Times New Roman"/>
              </w:rPr>
              <w:t>pkt</w:t>
            </w:r>
            <w:proofErr w:type="spellEnd"/>
            <w:r w:rsidRPr="009A1E09">
              <w:rPr>
                <w:rFonts w:ascii="Times New Roman" w:hAnsi="Times New Roman"/>
              </w:rPr>
              <w:t xml:space="preserve"> </w:t>
            </w:r>
          </w:p>
        </w:tc>
      </w:tr>
      <w:tr w:rsidR="00E440EF" w:rsidRPr="0042718E" w:rsidTr="00620FA1">
        <w:trPr>
          <w:trHeight w:val="467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shd w:val="clear" w:color="auto" w:fill="F2F2F2"/>
          </w:tcPr>
          <w:p w:rsidR="00E440EF" w:rsidRPr="009A1E09" w:rsidRDefault="00E440EF" w:rsidP="00D20821">
            <w:pPr>
              <w:tabs>
                <w:tab w:val="left" w:pos="1102"/>
              </w:tabs>
              <w:spacing w:before="120" w:after="120"/>
              <w:rPr>
                <w:sz w:val="24"/>
                <w:szCs w:val="24"/>
              </w:rPr>
            </w:pPr>
            <w:r w:rsidRPr="009A1E09">
              <w:rPr>
                <w:sz w:val="24"/>
                <w:szCs w:val="24"/>
              </w:rPr>
              <w:t xml:space="preserve">W przypadku kursów – posiadanie przez realizatora usługi kształcenia ustawicznego dokumentu, na podstawie którego prowadzi </w:t>
            </w:r>
            <w:r w:rsidRPr="009A1E09">
              <w:rPr>
                <w:sz w:val="24"/>
                <w:szCs w:val="24"/>
              </w:rPr>
              <w:lastRenderedPageBreak/>
              <w:t xml:space="preserve">on pozaszkolne formy kształcenia ustawicznego – </w:t>
            </w:r>
            <w:r w:rsidRPr="009A1E09">
              <w:rPr>
                <w:bCs/>
                <w:sz w:val="24"/>
                <w:szCs w:val="24"/>
              </w:rPr>
              <w:t>maksymalnie 4 punkty</w:t>
            </w:r>
          </w:p>
        </w:tc>
        <w:tc>
          <w:tcPr>
            <w:tcW w:w="50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A04AD3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lastRenderedPageBreak/>
              <w:t xml:space="preserve">Posiada – 4 punkty </w:t>
            </w:r>
          </w:p>
        </w:tc>
      </w:tr>
      <w:tr w:rsidR="00E440EF" w:rsidRPr="0042718E" w:rsidTr="00620FA1">
        <w:trPr>
          <w:trHeight w:val="559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E440EF" w:rsidRPr="009A1E09" w:rsidRDefault="00E440EF" w:rsidP="00F2781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A04AD3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 xml:space="preserve">Nie posiada – 0 punktów </w:t>
            </w:r>
          </w:p>
        </w:tc>
      </w:tr>
      <w:tr w:rsidR="00E440EF" w:rsidRPr="0042718E" w:rsidTr="00620FA1">
        <w:trPr>
          <w:trHeight w:val="530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E440EF" w:rsidRPr="0042718E" w:rsidRDefault="00E440EF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E440EF" w:rsidRPr="009A1E09" w:rsidRDefault="00E440EF" w:rsidP="00F2781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440EF" w:rsidRPr="009A1E09" w:rsidRDefault="00E440EF" w:rsidP="00A04AD3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Nie dotyczy</w:t>
            </w:r>
          </w:p>
        </w:tc>
      </w:tr>
      <w:tr w:rsidR="00283FBC" w:rsidRPr="0042718E" w:rsidTr="00620FA1">
        <w:trPr>
          <w:trHeight w:val="275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shd w:val="clear" w:color="auto" w:fill="F2F2F2"/>
          </w:tcPr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9A1E09" w:rsidRDefault="00283FBC" w:rsidP="00D20821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  <w:p w:rsidR="00283FBC" w:rsidRPr="00DF73AB" w:rsidRDefault="00283FBC" w:rsidP="00D20821">
            <w:pPr>
              <w:tabs>
                <w:tab w:val="left" w:pos="1102"/>
              </w:tabs>
              <w:rPr>
                <w:sz w:val="24"/>
                <w:szCs w:val="22"/>
              </w:rPr>
            </w:pPr>
          </w:p>
          <w:p w:rsidR="00283FBC" w:rsidRPr="00DF73AB" w:rsidRDefault="00283FBC" w:rsidP="00D20821">
            <w:pPr>
              <w:tabs>
                <w:tab w:val="left" w:pos="1102"/>
              </w:tabs>
              <w:rPr>
                <w:sz w:val="24"/>
                <w:szCs w:val="22"/>
              </w:rPr>
            </w:pPr>
            <w:r w:rsidRPr="00DF73AB">
              <w:rPr>
                <w:sz w:val="24"/>
                <w:szCs w:val="22"/>
              </w:rPr>
              <w:t>Plany dotyczące dalszego zatrudnienia osób, które będą objęte kształceniem ustawicznym finansowanym ze środków KFS</w:t>
            </w:r>
            <w:r w:rsidRPr="00DF73AB">
              <w:rPr>
                <w:sz w:val="24"/>
              </w:rPr>
              <w:t xml:space="preserve"> – maksymalnie 10 punktów</w:t>
            </w:r>
            <w:r w:rsidRPr="00DF73AB">
              <w:rPr>
                <w:sz w:val="24"/>
                <w:szCs w:val="22"/>
              </w:rPr>
              <w:t xml:space="preserve"> </w:t>
            </w:r>
          </w:p>
          <w:p w:rsidR="00283FBC" w:rsidRPr="00DF73AB" w:rsidRDefault="00283FBC" w:rsidP="00D20821">
            <w:pPr>
              <w:tabs>
                <w:tab w:val="left" w:pos="1102"/>
              </w:tabs>
              <w:rPr>
                <w:sz w:val="24"/>
                <w:szCs w:val="22"/>
              </w:rPr>
            </w:pPr>
            <w:r w:rsidRPr="00DF73AB">
              <w:rPr>
                <w:sz w:val="24"/>
                <w:szCs w:val="22"/>
              </w:rPr>
              <w:t>(</w:t>
            </w:r>
            <w:r w:rsidRPr="00DF73AB">
              <w:rPr>
                <w:sz w:val="24"/>
              </w:rPr>
              <w:t>uzasadnienie punktu 2 ze strony 6 wniosku)</w:t>
            </w:r>
          </w:p>
          <w:p w:rsidR="00283FBC" w:rsidRPr="009A1E09" w:rsidRDefault="00283FBC" w:rsidP="00A51A06">
            <w:pPr>
              <w:rPr>
                <w:sz w:val="22"/>
                <w:szCs w:val="22"/>
              </w:rPr>
            </w:pPr>
          </w:p>
          <w:p w:rsidR="00283FBC" w:rsidRPr="009A1E09" w:rsidRDefault="00283FBC" w:rsidP="00A51A06">
            <w:pPr>
              <w:rPr>
                <w:sz w:val="22"/>
                <w:szCs w:val="22"/>
              </w:rPr>
            </w:pPr>
          </w:p>
          <w:p w:rsidR="00283FBC" w:rsidRPr="009A1E09" w:rsidRDefault="00283FBC" w:rsidP="00A51A06">
            <w:pPr>
              <w:rPr>
                <w:sz w:val="22"/>
                <w:szCs w:val="22"/>
              </w:rPr>
            </w:pPr>
          </w:p>
          <w:p w:rsidR="00283FBC" w:rsidRPr="009A1E09" w:rsidRDefault="00283FBC" w:rsidP="00A51A06">
            <w:pPr>
              <w:tabs>
                <w:tab w:val="left" w:pos="1302"/>
              </w:tabs>
              <w:rPr>
                <w:sz w:val="22"/>
                <w:szCs w:val="22"/>
              </w:rPr>
            </w:pPr>
            <w:r w:rsidRPr="009A1E09">
              <w:rPr>
                <w:sz w:val="22"/>
                <w:szCs w:val="22"/>
              </w:rPr>
              <w:tab/>
            </w: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64945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Deklaracja zatrudnienia pracownika/ów na czas nieokreślony, inwestycja w rozwój zawodowy pracownika/ów, poszerzenie obowiązków zawodowych pracownika/ów – 10 pkt</w:t>
            </w:r>
          </w:p>
        </w:tc>
      </w:tr>
      <w:tr w:rsidR="00283FBC" w:rsidRPr="0042718E" w:rsidTr="00283FBC">
        <w:trPr>
          <w:trHeight w:val="250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283FBC" w:rsidRPr="009A1E09" w:rsidRDefault="00283FBC" w:rsidP="00E440EF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04AD3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Deklaracja zatrudnienia pracownika/ów na czas określony powyżej 12 miesięcy, inwestycja w rozwój zawodowy pracownika/ów, poszerzenie obowiązków zawodowych pracownika/ów – od 4 do 9 pkt</w:t>
            </w:r>
          </w:p>
        </w:tc>
      </w:tr>
      <w:tr w:rsidR="00283FBC" w:rsidRPr="0042718E" w:rsidTr="00283FBC">
        <w:trPr>
          <w:trHeight w:val="28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283FBC" w:rsidRPr="009A1E09" w:rsidRDefault="00283FBC" w:rsidP="00E440EF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64945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Deklaracja zatrudnienia pracownika/ów na czas określony do 12 miesięcy, brak poszerzenia obowiązków zawodowych – od 1 do 3 pkt</w:t>
            </w:r>
          </w:p>
        </w:tc>
      </w:tr>
      <w:tr w:rsidR="00283FBC" w:rsidRPr="0042718E" w:rsidTr="00283FBC">
        <w:trPr>
          <w:trHeight w:val="288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283FBC" w:rsidRPr="009A1E09" w:rsidRDefault="00283FBC" w:rsidP="00E440EF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64945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Brak deklaracji zatrudnienia po okresie kształcenia ustawicznego – 0 pkt</w:t>
            </w:r>
          </w:p>
        </w:tc>
      </w:tr>
      <w:tr w:rsidR="00283FBC" w:rsidRPr="0042718E" w:rsidTr="00283FBC">
        <w:trPr>
          <w:trHeight w:val="225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283FBC" w:rsidRPr="009A1E09" w:rsidRDefault="00283FBC" w:rsidP="00E440EF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64945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W przypadku Pracodawcy – plany, strategia i rozwój firmy – 0 do 10 pkt</w:t>
            </w:r>
          </w:p>
        </w:tc>
      </w:tr>
      <w:tr w:rsidR="00283FBC" w:rsidRPr="0042718E" w:rsidTr="00283FBC">
        <w:trPr>
          <w:trHeight w:val="225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283FBC" w:rsidRPr="0042718E" w:rsidRDefault="00283FBC" w:rsidP="00283FBC">
            <w:pPr>
              <w:pStyle w:val="Akapitzlist"/>
              <w:tabs>
                <w:tab w:val="left" w:pos="1102"/>
              </w:tabs>
              <w:spacing w:after="0" w:line="240" w:lineRule="auto"/>
              <w:ind w:left="454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</w:tcPr>
          <w:p w:rsidR="00283FBC" w:rsidRPr="009A1E09" w:rsidRDefault="00283FBC" w:rsidP="00E440EF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283FBC" w:rsidRPr="009A1E09" w:rsidRDefault="00283FBC" w:rsidP="00A64945">
            <w:pPr>
              <w:pStyle w:val="Akapitzlist"/>
              <w:numPr>
                <w:ilvl w:val="0"/>
                <w:numId w:val="5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przyznanych punktów _____________</w:t>
            </w:r>
          </w:p>
        </w:tc>
      </w:tr>
      <w:tr w:rsidR="00A04AD3" w:rsidRPr="0042718E" w:rsidTr="00283FBC">
        <w:trPr>
          <w:trHeight w:val="601"/>
        </w:trPr>
        <w:tc>
          <w:tcPr>
            <w:tcW w:w="501" w:type="dxa"/>
            <w:vMerge w:val="restart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A04AD3" w:rsidRPr="0042718E" w:rsidRDefault="00A04AD3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 w:val="restart"/>
            <w:shd w:val="clear" w:color="auto" w:fill="F2F2F2"/>
            <w:vAlign w:val="center"/>
          </w:tcPr>
          <w:p w:rsidR="00A04AD3" w:rsidRPr="009A1E09" w:rsidRDefault="00A04AD3" w:rsidP="00B75410">
            <w:pPr>
              <w:tabs>
                <w:tab w:val="left" w:pos="1102"/>
              </w:tabs>
              <w:spacing w:before="120" w:after="120"/>
              <w:rPr>
                <w:sz w:val="22"/>
                <w:szCs w:val="22"/>
              </w:rPr>
            </w:pPr>
            <w:r w:rsidRPr="00DF73AB">
              <w:rPr>
                <w:sz w:val="24"/>
                <w:szCs w:val="22"/>
              </w:rPr>
              <w:t>Możliwość sfinansowania ze środków KFS działań określonych we wniosku, z uwzględnieniem limitów, o których mowa w art. 109 ust. 2k i 2m ustawy</w:t>
            </w: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A04AD3" w:rsidRPr="009A1E09" w:rsidRDefault="00A04AD3" w:rsidP="00A04AD3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341" w:hanging="284"/>
              <w:contextualSpacing w:val="0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Tak</w:t>
            </w:r>
          </w:p>
        </w:tc>
      </w:tr>
      <w:tr w:rsidR="00A04AD3" w:rsidRPr="0042718E" w:rsidTr="00283FBC">
        <w:trPr>
          <w:trHeight w:val="639"/>
        </w:trPr>
        <w:tc>
          <w:tcPr>
            <w:tcW w:w="50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A04AD3" w:rsidRPr="0042718E" w:rsidRDefault="00A04AD3" w:rsidP="003F6FCA">
            <w:pPr>
              <w:pStyle w:val="Akapitzlist"/>
              <w:numPr>
                <w:ilvl w:val="0"/>
                <w:numId w:val="1"/>
              </w:numPr>
              <w:tabs>
                <w:tab w:val="left" w:pos="1102"/>
              </w:tabs>
              <w:spacing w:after="0" w:line="240" w:lineRule="auto"/>
              <w:ind w:left="454" w:hanging="425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shd w:val="clear" w:color="auto" w:fill="F2F2F2"/>
            <w:vAlign w:val="center"/>
          </w:tcPr>
          <w:p w:rsidR="00A04AD3" w:rsidRPr="009A1E09" w:rsidRDefault="00A04AD3" w:rsidP="00B75410">
            <w:pPr>
              <w:tabs>
                <w:tab w:val="left" w:pos="1102"/>
              </w:tabs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right w:val="single" w:sz="2" w:space="0" w:color="auto"/>
            </w:tcBorders>
            <w:vAlign w:val="center"/>
          </w:tcPr>
          <w:p w:rsidR="00A04AD3" w:rsidRPr="009A1E09" w:rsidRDefault="00A04AD3" w:rsidP="00A64945">
            <w:pPr>
              <w:pStyle w:val="Akapitzlist"/>
              <w:numPr>
                <w:ilvl w:val="0"/>
                <w:numId w:val="12"/>
              </w:numPr>
              <w:spacing w:before="60" w:after="60" w:line="240" w:lineRule="auto"/>
              <w:ind w:left="341" w:hanging="284"/>
              <w:rPr>
                <w:rFonts w:ascii="Times New Roman" w:hAnsi="Times New Roman"/>
              </w:rPr>
            </w:pPr>
            <w:r w:rsidRPr="009A1E09">
              <w:rPr>
                <w:rFonts w:ascii="Times New Roman" w:hAnsi="Times New Roman"/>
              </w:rPr>
              <w:t>Nie</w:t>
            </w:r>
          </w:p>
        </w:tc>
      </w:tr>
      <w:tr w:rsidR="00761406" w:rsidRPr="0042718E" w:rsidTr="00283FBC">
        <w:trPr>
          <w:trHeight w:val="225"/>
        </w:trPr>
        <w:tc>
          <w:tcPr>
            <w:tcW w:w="501" w:type="dxa"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761406" w:rsidRPr="0042718E" w:rsidRDefault="00761406" w:rsidP="00102641">
            <w:pPr>
              <w:pStyle w:val="Akapitzlist"/>
              <w:tabs>
                <w:tab w:val="left" w:pos="1102"/>
              </w:tabs>
              <w:spacing w:after="0" w:line="240" w:lineRule="auto"/>
              <w:ind w:left="454"/>
              <w:rPr>
                <w:rFonts w:ascii="Times New Roman" w:hAnsi="Times New Roman"/>
              </w:rPr>
            </w:pPr>
          </w:p>
        </w:tc>
        <w:tc>
          <w:tcPr>
            <w:tcW w:w="9630" w:type="dxa"/>
            <w:gridSpan w:val="2"/>
            <w:tcBorders>
              <w:right w:val="single" w:sz="2" w:space="0" w:color="auto"/>
            </w:tcBorders>
            <w:shd w:val="clear" w:color="auto" w:fill="F2F2F2"/>
          </w:tcPr>
          <w:p w:rsidR="00761406" w:rsidRPr="00761406" w:rsidRDefault="00761406" w:rsidP="00761406">
            <w:pPr>
              <w:tabs>
                <w:tab w:val="left" w:pos="1102"/>
              </w:tabs>
              <w:spacing w:before="120" w:after="120"/>
              <w:ind w:left="2193"/>
            </w:pPr>
            <w:r w:rsidRPr="00140FF6">
              <w:rPr>
                <w:b/>
                <w:sz w:val="24"/>
              </w:rPr>
              <w:t>Suma zdobytych punktów (maks. od 48 do 60)</w:t>
            </w:r>
            <w:r w:rsidR="00620FA1">
              <w:rPr>
                <w:b/>
                <w:sz w:val="24"/>
              </w:rPr>
              <w:t>: __________</w:t>
            </w:r>
          </w:p>
        </w:tc>
      </w:tr>
    </w:tbl>
    <w:p w:rsidR="00765DA9" w:rsidRDefault="00765DA9">
      <w:pPr>
        <w:widowControl w:val="0"/>
        <w:ind w:right="111"/>
        <w:jc w:val="both"/>
      </w:pPr>
    </w:p>
    <w:sectPr w:rsidR="00765DA9" w:rsidSect="009A65D4">
      <w:footnotePr>
        <w:numFmt w:val="chicago"/>
      </w:footnotePr>
      <w:pgSz w:w="11906" w:h="16838"/>
      <w:pgMar w:top="1134" w:right="1134" w:bottom="1134" w:left="1418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C49"/>
    <w:multiLevelType w:val="hybridMultilevel"/>
    <w:tmpl w:val="4002E38E"/>
    <w:lvl w:ilvl="0" w:tplc="1E72407C">
      <w:start w:val="1"/>
      <w:numFmt w:val="bullet"/>
      <w:lvlText w:val=""/>
      <w:lvlJc w:val="left"/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65CA"/>
    <w:multiLevelType w:val="hybridMultilevel"/>
    <w:tmpl w:val="891C6E7A"/>
    <w:lvl w:ilvl="0" w:tplc="1E72407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BFB7C09"/>
    <w:multiLevelType w:val="hybridMultilevel"/>
    <w:tmpl w:val="5D7824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9157D9"/>
    <w:multiLevelType w:val="hybridMultilevel"/>
    <w:tmpl w:val="4E9AC164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95C"/>
    <w:multiLevelType w:val="hybridMultilevel"/>
    <w:tmpl w:val="7E24AFB8"/>
    <w:lvl w:ilvl="0" w:tplc="1E72407C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4625C05"/>
    <w:multiLevelType w:val="hybridMultilevel"/>
    <w:tmpl w:val="A3708A26"/>
    <w:lvl w:ilvl="0" w:tplc="1E7240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810A4"/>
    <w:multiLevelType w:val="hybridMultilevel"/>
    <w:tmpl w:val="0F801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C0525"/>
    <w:multiLevelType w:val="hybridMultilevel"/>
    <w:tmpl w:val="067041C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E642457"/>
    <w:multiLevelType w:val="hybridMultilevel"/>
    <w:tmpl w:val="F2008A9A"/>
    <w:lvl w:ilvl="0" w:tplc="1E72407C">
      <w:start w:val="1"/>
      <w:numFmt w:val="bullet"/>
      <w:lvlText w:val=""/>
      <w:lvlJc w:val="left"/>
      <w:pPr>
        <w:ind w:left="89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50FA44FA"/>
    <w:multiLevelType w:val="hybridMultilevel"/>
    <w:tmpl w:val="D7AA484A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6429D"/>
    <w:multiLevelType w:val="hybridMultilevel"/>
    <w:tmpl w:val="AC34C248"/>
    <w:lvl w:ilvl="0" w:tplc="1E72407C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CBB3277"/>
    <w:multiLevelType w:val="hybridMultilevel"/>
    <w:tmpl w:val="93827C34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67083"/>
    <w:multiLevelType w:val="hybridMultilevel"/>
    <w:tmpl w:val="1E308480"/>
    <w:lvl w:ilvl="0" w:tplc="8A5C5A0E">
      <w:start w:val="13"/>
      <w:numFmt w:val="bullet"/>
      <w:lvlText w:val="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numFmt w:val="chicago"/>
  </w:footnotePr>
  <w:compat/>
  <w:rsids>
    <w:rsidRoot w:val="003F6FCA"/>
    <w:rsid w:val="000342CF"/>
    <w:rsid w:val="00102641"/>
    <w:rsid w:val="001252F9"/>
    <w:rsid w:val="00140FF6"/>
    <w:rsid w:val="00182213"/>
    <w:rsid w:val="001D6A34"/>
    <w:rsid w:val="00243740"/>
    <w:rsid w:val="00283FBC"/>
    <w:rsid w:val="0029773C"/>
    <w:rsid w:val="002A586F"/>
    <w:rsid w:val="002E3A95"/>
    <w:rsid w:val="002E6B62"/>
    <w:rsid w:val="00350443"/>
    <w:rsid w:val="003F6FCA"/>
    <w:rsid w:val="00425EFD"/>
    <w:rsid w:val="00451810"/>
    <w:rsid w:val="0045459B"/>
    <w:rsid w:val="0048251F"/>
    <w:rsid w:val="004A39C5"/>
    <w:rsid w:val="004A53AB"/>
    <w:rsid w:val="00527136"/>
    <w:rsid w:val="00620FA1"/>
    <w:rsid w:val="00633DCF"/>
    <w:rsid w:val="00633F31"/>
    <w:rsid w:val="00690963"/>
    <w:rsid w:val="006A0FBE"/>
    <w:rsid w:val="006B300B"/>
    <w:rsid w:val="00726CD9"/>
    <w:rsid w:val="00761406"/>
    <w:rsid w:val="00765DA9"/>
    <w:rsid w:val="007C209F"/>
    <w:rsid w:val="00812EFC"/>
    <w:rsid w:val="00843FF0"/>
    <w:rsid w:val="00872E01"/>
    <w:rsid w:val="00941323"/>
    <w:rsid w:val="00956A49"/>
    <w:rsid w:val="00997639"/>
    <w:rsid w:val="009A1E09"/>
    <w:rsid w:val="009A43DE"/>
    <w:rsid w:val="009A65D4"/>
    <w:rsid w:val="009C0C40"/>
    <w:rsid w:val="009D7409"/>
    <w:rsid w:val="009F06DF"/>
    <w:rsid w:val="009F76E1"/>
    <w:rsid w:val="00A00CC0"/>
    <w:rsid w:val="00A04AD3"/>
    <w:rsid w:val="00A51A06"/>
    <w:rsid w:val="00A53C15"/>
    <w:rsid w:val="00A55E91"/>
    <w:rsid w:val="00A56119"/>
    <w:rsid w:val="00A5639D"/>
    <w:rsid w:val="00A64945"/>
    <w:rsid w:val="00AD5EBC"/>
    <w:rsid w:val="00B75410"/>
    <w:rsid w:val="00B773CA"/>
    <w:rsid w:val="00BF72E1"/>
    <w:rsid w:val="00D05585"/>
    <w:rsid w:val="00D20821"/>
    <w:rsid w:val="00D66F89"/>
    <w:rsid w:val="00DF73AB"/>
    <w:rsid w:val="00E440EF"/>
    <w:rsid w:val="00EA33CF"/>
    <w:rsid w:val="00ED653E"/>
    <w:rsid w:val="00EE0864"/>
    <w:rsid w:val="00F27811"/>
    <w:rsid w:val="00F67349"/>
    <w:rsid w:val="00FD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6F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6FCA"/>
    <w:rPr>
      <w:rFonts w:ascii="Calibri" w:eastAsia="Calibri" w:hAnsi="Calibri" w:cs="Times New Roman"/>
    </w:rPr>
  </w:style>
  <w:style w:type="paragraph" w:customStyle="1" w:styleId="Default">
    <w:name w:val="Default"/>
    <w:rsid w:val="003F6F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dagmaraCH</cp:lastModifiedBy>
  <cp:revision>15</cp:revision>
  <cp:lastPrinted>2024-02-05T09:16:00Z</cp:lastPrinted>
  <dcterms:created xsi:type="dcterms:W3CDTF">2023-02-17T08:12:00Z</dcterms:created>
  <dcterms:modified xsi:type="dcterms:W3CDTF">2024-02-05T09:16:00Z</dcterms:modified>
</cp:coreProperties>
</file>